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882.xml.htm"/>
      <w:bookmarkStart w:id="1" w:name="kswkform4_17804328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Waite Jill Francine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PORTILLO'S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SPRING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Portillo's Inc.</w:t>
              </w:r>
            </w:hyperlink>
            <w:r>
              <w:rPr/>
              <w:t xml:space="preserve"> [ </w:t>
            </w:r>
            <w:r>
              <w:rPr>
                <w:rFonts w:ascii="Times;serif" w:hAnsi="Times;serif"/>
                <w:color w:val="0000FF"/>
                <w:sz w:val="24"/>
                <w:shd w:fill="FFFFFF" w:val="clear"/>
              </w:rPr>
              <w:t>PTLO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3"/>
        <w:gridCol w:w="772"/>
        <w:gridCol w:w="600"/>
        <w:gridCol w:w="352"/>
        <w:gridCol w:w="898"/>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1,146</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133,324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133,291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of Class A Common Stock purchased pursuant to the Portillo's Inc. 2022 Employee Stock Purchase Plan ("ESPP"), for the purchase period of March 1, 2026 to May 31, 2026. In accordance with the ESPP, these shares were purchased at a price equal to 90% of the closing price of Issuer's Class A Common Stock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deducted to satisfy tax withholding obligations on the vesting of the award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/s/Kelly M. Kaiser, as attorney-in-fact for Jill Waite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715" TargetMode="External"/><Relationship Id="rId5" Type="http://schemas.openxmlformats.org/officeDocument/2006/relationships/hyperlink" Target="http://www.sec.gov/cgi-bin/browse-edgar?action=getcompany&amp;CIK=0001871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3525</Characters>
  <CharactersWithSpaces>4118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