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center"/>
        <w:rPr>
          <w:rFonts w:ascii="Arial Narrow;sans-serif" w:hAnsi="Arial Narrow;sans-serif"/>
          <w:b/>
          <w:color w:val="000000"/>
          <w:sz w:val="24"/>
        </w:rPr>
      </w:pPr>
      <w:r>
        <w:rPr>
          <w:rFonts w:ascii="Arial Narrow;sans-serif" w:hAnsi="Arial Narrow;sans-serif"/>
          <w:b/>
          <w:color w:val="000000"/>
          <w:sz w:val="24"/>
        </w:rPr>
        <w:t>UNITED STATES</w:t>
      </w:r>
    </w:p>
    <w:p>
      <w:pPr>
        <w:pStyle w:val="TextBody"/>
        <w:bidi w:val="0"/>
        <w:spacing w:lineRule="auto" w:line="288" w:before="0" w:after="0"/>
        <w:jc w:val="center"/>
        <w:rPr>
          <w:rFonts w:ascii="Arial Narrow;sans-serif" w:hAnsi="Arial Narrow;sans-serif"/>
          <w:b/>
          <w:color w:val="000000"/>
          <w:sz w:val="24"/>
        </w:rPr>
      </w:pPr>
      <w:r>
        <w:rPr>
          <w:rFonts w:ascii="Arial Narrow;sans-serif" w:hAnsi="Arial Narrow;sans-serif"/>
          <w:b/>
          <w:color w:val="000000"/>
          <w:sz w:val="24"/>
        </w:rPr>
        <w:t>SECURITIES AND EXCHANGE COMMISSION</w:t>
      </w:r>
    </w:p>
    <w:p>
      <w:pPr>
        <w:pStyle w:val="TextBody"/>
        <w:bidi w:val="0"/>
        <w:spacing w:lineRule="auto" w:line="288" w:before="0" w:after="0"/>
        <w:jc w:val="center"/>
        <w:rPr>
          <w:rFonts w:ascii="Arial Narrow;sans-serif" w:hAnsi="Arial Narrow;sans-serif"/>
          <w:b/>
          <w:color w:val="000000"/>
          <w:sz w:val="24"/>
        </w:rPr>
      </w:pPr>
      <w:r>
        <w:rPr>
          <w:rFonts w:ascii="Arial Narrow;sans-serif" w:hAnsi="Arial Narrow;sans-serif"/>
          <w:b/>
          <w:color w:val="000000"/>
          <w:sz w:val="24"/>
        </w:rPr>
        <w:t>WASHINGTON, D.C. 20549</w:t>
      </w:r>
    </w:p>
    <w:p>
      <w:pPr>
        <w:pStyle w:val="TextBody"/>
        <w:bidi w:val="0"/>
        <w:spacing w:before="0" w:after="0"/>
        <w:jc w:val="center"/>
        <w:rPr/>
      </w:pPr>
      <w:r>
        <w:rPr/>
      </w:r>
    </w:p>
    <w:tbl>
      <w:tblPr>
        <w:tblW w:w="1905" w:type="dxa"/>
        <w:jc w:val="center"/>
        <w:tblInd w:w="0" w:type="dxa"/>
        <w:tblLayout w:type="fixed"/>
        <w:tblCellMar>
          <w:top w:w="28" w:type="dxa"/>
          <w:left w:w="28" w:type="dxa"/>
          <w:bottom w:w="28" w:type="dxa"/>
          <w:right w:w="28" w:type="dxa"/>
        </w:tblCellMar>
      </w:tblPr>
      <w:tblGrid>
        <w:gridCol w:w="610"/>
        <w:gridCol w:w="535"/>
        <w:gridCol w:w="760"/>
      </w:tblGrid>
      <w:tr>
        <w:trPr/>
        <w:tc>
          <w:tcPr>
            <w:tcW w:w="610" w:type="dxa"/>
            <w:tcBorders/>
            <w:vAlign w:val="center"/>
          </w:tcPr>
          <w:p>
            <w:pPr>
              <w:pStyle w:val="TableContents"/>
              <w:bidi w:val="0"/>
              <w:spacing w:before="0" w:after="283"/>
              <w:jc w:val="left"/>
              <w:rPr>
                <w:sz w:val="4"/>
                <w:szCs w:val="4"/>
              </w:rPr>
            </w:pPr>
            <w:r>
              <w:rPr>
                <w:sz w:val="4"/>
                <w:szCs w:val="4"/>
              </w:rPr>
            </w:r>
          </w:p>
        </w:tc>
        <w:tc>
          <w:tcPr>
            <w:tcW w:w="535" w:type="dxa"/>
            <w:tcBorders/>
            <w:vAlign w:val="center"/>
          </w:tcPr>
          <w:p>
            <w:pPr>
              <w:pStyle w:val="TableContents"/>
              <w:bidi w:val="0"/>
              <w:spacing w:before="0" w:after="283"/>
              <w:jc w:val="left"/>
              <w:rPr>
                <w:sz w:val="4"/>
                <w:szCs w:val="4"/>
              </w:rPr>
            </w:pPr>
            <w:r>
              <w:rPr>
                <w:sz w:val="4"/>
                <w:szCs w:val="4"/>
              </w:rPr>
            </w:r>
          </w:p>
        </w:tc>
        <w:tc>
          <w:tcPr>
            <w:tcW w:w="760" w:type="dxa"/>
            <w:tcBorders/>
            <w:vAlign w:val="center"/>
          </w:tcPr>
          <w:p>
            <w:pPr>
              <w:pStyle w:val="TableContents"/>
              <w:bidi w:val="0"/>
              <w:spacing w:before="0" w:after="283"/>
              <w:jc w:val="left"/>
              <w:rPr>
                <w:sz w:val="4"/>
                <w:szCs w:val="4"/>
              </w:rPr>
            </w:pPr>
            <w:r>
              <w:rPr>
                <w:sz w:val="4"/>
                <w:szCs w:val="4"/>
              </w:rPr>
            </w:r>
          </w:p>
        </w:tc>
      </w:tr>
      <w:tr>
        <w:trPr/>
        <w:tc>
          <w:tcPr>
            <w:tcW w:w="1905"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0"/>
              <w:jc w:val="center"/>
              <w:rPr>
                <w:rFonts w:ascii="Arial Narrow;sans-serif" w:hAnsi="Arial Narrow;sans-serif"/>
                <w:b/>
                <w:color w:val="000000"/>
                <w:sz w:val="44"/>
              </w:rPr>
            </w:pPr>
            <w:r>
              <w:rPr>
                <w:rFonts w:ascii="Arial Narrow;sans-serif" w:hAnsi="Arial Narrow;sans-serif"/>
                <w:b/>
                <w:color w:val="000000"/>
                <w:sz w:val="44"/>
              </w:rPr>
              <w:t>FORM 8-K</w:t>
            </w:r>
          </w:p>
        </w:tc>
      </w:tr>
    </w:tbl>
    <w:p>
      <w:pPr>
        <w:pStyle w:val="TextBody"/>
        <w:bidi w:val="0"/>
        <w:spacing w:before="0" w:after="0"/>
        <w:jc w:val="center"/>
        <w:rPr/>
      </w:pPr>
      <w:r>
        <w:rPr/>
      </w:r>
    </w:p>
    <w:p>
      <w:pPr>
        <w:pStyle w:val="TextBody"/>
        <w:bidi w:val="0"/>
        <w:spacing w:lineRule="auto" w:line="288" w:before="0" w:after="0"/>
        <w:jc w:val="center"/>
        <w:rPr>
          <w:rFonts w:ascii="Arial Narrow;sans-serif" w:hAnsi="Arial Narrow;sans-serif"/>
          <w:b w:val="false"/>
          <w:color w:val="000000"/>
          <w:sz w:val="22"/>
        </w:rPr>
      </w:pPr>
      <w:r>
        <w:rPr>
          <w:rFonts w:ascii="Arial Narrow;sans-serif" w:hAnsi="Arial Narrow;sans-serif"/>
          <w:b w:val="false"/>
          <w:color w:val="000000"/>
          <w:sz w:val="22"/>
        </w:rPr>
        <w:t>CURRENT REPORT</w:t>
      </w:r>
    </w:p>
    <w:p>
      <w:pPr>
        <w:pStyle w:val="TextBody"/>
        <w:bidi w:val="0"/>
        <w:spacing w:lineRule="auto" w:line="288" w:before="0" w:after="0"/>
        <w:jc w:val="center"/>
        <w:rPr>
          <w:rFonts w:ascii="Arial Narrow;sans-serif" w:hAnsi="Arial Narrow;sans-serif"/>
          <w:b w:val="false"/>
          <w:color w:val="000000"/>
          <w:sz w:val="22"/>
        </w:rPr>
      </w:pPr>
      <w:r>
        <w:rPr>
          <w:rFonts w:ascii="Arial Narrow;sans-serif" w:hAnsi="Arial Narrow;sans-serif"/>
          <w:b w:val="false"/>
          <w:color w:val="000000"/>
          <w:sz w:val="22"/>
        </w:rPr>
        <w:t>PURSUANT TO SECTION 13 OR 15(d) OF THE SECURITIES EXCHANGE ACT OF 1934</w:t>
      </w:r>
    </w:p>
    <w:p>
      <w:pPr>
        <w:pStyle w:val="TextBody"/>
        <w:bidi w:val="0"/>
        <w:spacing w:before="0" w:after="0"/>
        <w:jc w:val="center"/>
        <w:rPr/>
      </w:pPr>
      <w:r>
        <w:rPr/>
      </w:r>
    </w:p>
    <w:p>
      <w:pPr>
        <w:pStyle w:val="TextBody"/>
        <w:bidi w:val="0"/>
        <w:spacing w:lineRule="auto" w:line="288" w:before="0" w:after="0"/>
        <w:jc w:val="center"/>
        <w:rPr>
          <w:rFonts w:ascii="Arial Narrow;sans-serif" w:hAnsi="Arial Narrow;sans-serif"/>
          <w:b w:val="false"/>
          <w:color w:val="000000"/>
          <w:sz w:val="22"/>
        </w:rPr>
      </w:pPr>
      <w:r>
        <w:rPr>
          <w:rFonts w:ascii="Arial Narrow;sans-serif" w:hAnsi="Arial Narrow;sans-serif"/>
          <w:b w:val="false"/>
          <w:color w:val="000000"/>
          <w:sz w:val="22"/>
        </w:rPr>
        <w:t>Date of Report (Date of earliest event reported): 6/9/2026</w:t>
      </w:r>
    </w:p>
    <w:p>
      <w:pPr>
        <w:pStyle w:val="TextBody"/>
        <w:bidi w:val="0"/>
        <w:spacing w:before="0" w:after="0"/>
        <w:jc w:val="center"/>
        <w:rPr/>
      </w:pPr>
      <w:r>
        <w:rPr/>
      </w:r>
    </w:p>
    <w:p>
      <w:pPr>
        <w:pStyle w:val="TextBody"/>
        <w:bidi w:val="0"/>
        <w:spacing w:before="0" w:after="0"/>
        <w:jc w:val="center"/>
        <w:rPr/>
      </w:pPr>
      <w:r>
        <w:rPr/>
        <w:drawing>
          <wp:inline distT="0" distB="0" distL="0" distR="0">
            <wp:extent cx="2533650" cy="7239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533650" cy="723900"/>
                    </a:xfrm>
                    <a:prstGeom prst="rect">
                      <a:avLst/>
                    </a:prstGeom>
                  </pic:spPr>
                </pic:pic>
              </a:graphicData>
            </a:graphic>
          </wp:inline>
        </w:drawing>
      </w:r>
      <w:bookmarkStart w:id="0" w:name="i-1"/>
      <w:bookmarkEnd w:id="0"/>
    </w:p>
    <w:p>
      <w:pPr>
        <w:pStyle w:val="TextBody"/>
        <w:bidi w:val="0"/>
        <w:spacing w:before="0" w:after="0"/>
        <w:jc w:val="center"/>
        <w:rPr/>
      </w:pPr>
      <w:r>
        <w:rPr/>
      </w:r>
    </w:p>
    <w:p>
      <w:pPr>
        <w:pStyle w:val="TextBody"/>
        <w:bidi w:val="0"/>
        <w:spacing w:lineRule="auto" w:line="288" w:before="0" w:after="0"/>
        <w:jc w:val="center"/>
        <w:rPr>
          <w:rFonts w:ascii="Arial Narrow;sans-serif" w:hAnsi="Arial Narrow;sans-serif"/>
          <w:b/>
          <w:color w:val="000000"/>
          <w:sz w:val="28"/>
        </w:rPr>
      </w:pPr>
      <w:r>
        <w:rPr>
          <w:rFonts w:ascii="Arial Narrow;sans-serif" w:hAnsi="Arial Narrow;sans-serif"/>
          <w:b/>
          <w:color w:val="000000"/>
          <w:sz w:val="28"/>
        </w:rPr>
        <w:t>PORTILLO'S INC.</w:t>
      </w:r>
    </w:p>
    <w:p>
      <w:pPr>
        <w:pStyle w:val="TextBody"/>
        <w:bidi w:val="0"/>
        <w:spacing w:lineRule="auto" w:line="288" w:before="0" w:after="0"/>
        <w:jc w:val="center"/>
        <w:rPr>
          <w:rFonts w:ascii="Arial Narrow;sans-serif" w:hAnsi="Arial Narrow;sans-serif"/>
          <w:b w:val="false"/>
          <w:color w:val="000000"/>
          <w:sz w:val="16"/>
        </w:rPr>
      </w:pPr>
      <w:r>
        <w:rPr>
          <w:rFonts w:ascii="Arial Narrow;sans-serif" w:hAnsi="Arial Narrow;sans-serif"/>
          <w:b w:val="false"/>
          <w:color w:val="000000"/>
          <w:sz w:val="16"/>
        </w:rPr>
        <w:t>(Exact name of registrant as specified in its charter)</w:t>
      </w:r>
    </w:p>
    <w:tbl>
      <w:tblPr>
        <w:tblW w:w="7874" w:type="dxa"/>
        <w:jc w:val="center"/>
        <w:tblInd w:w="0" w:type="dxa"/>
        <w:tblLayout w:type="fixed"/>
        <w:tblCellMar>
          <w:top w:w="28" w:type="dxa"/>
          <w:left w:w="28" w:type="dxa"/>
          <w:bottom w:w="28" w:type="dxa"/>
          <w:right w:w="28" w:type="dxa"/>
        </w:tblCellMar>
      </w:tblPr>
      <w:tblGrid>
        <w:gridCol w:w="1350"/>
        <w:gridCol w:w="1186"/>
        <w:gridCol w:w="1199"/>
        <w:gridCol w:w="592"/>
        <w:gridCol w:w="592"/>
        <w:gridCol w:w="600"/>
        <w:gridCol w:w="688"/>
        <w:gridCol w:w="688"/>
        <w:gridCol w:w="979"/>
      </w:tblGrid>
      <w:tr>
        <w:trPr/>
        <w:tc>
          <w:tcPr>
            <w:tcW w:w="1350"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c>
          <w:tcPr>
            <w:tcW w:w="1199" w:type="dxa"/>
            <w:tcBorders/>
            <w:vAlign w:val="center"/>
          </w:tcPr>
          <w:p>
            <w:pPr>
              <w:pStyle w:val="TableContents"/>
              <w:bidi w:val="0"/>
              <w:spacing w:before="0" w:after="283"/>
              <w:jc w:val="left"/>
              <w:rPr>
                <w:sz w:val="4"/>
                <w:szCs w:val="4"/>
              </w:rPr>
            </w:pPr>
            <w:r>
              <w:rPr>
                <w:sz w:val="4"/>
                <w:szCs w:val="4"/>
              </w:rPr>
            </w:r>
          </w:p>
        </w:tc>
        <w:tc>
          <w:tcPr>
            <w:tcW w:w="592" w:type="dxa"/>
            <w:tcBorders/>
            <w:vAlign w:val="center"/>
          </w:tcPr>
          <w:p>
            <w:pPr>
              <w:pStyle w:val="TableContents"/>
              <w:bidi w:val="0"/>
              <w:spacing w:before="0" w:after="283"/>
              <w:jc w:val="left"/>
              <w:rPr>
                <w:sz w:val="4"/>
                <w:szCs w:val="4"/>
              </w:rPr>
            </w:pPr>
            <w:r>
              <w:rPr>
                <w:sz w:val="4"/>
                <w:szCs w:val="4"/>
              </w:rPr>
            </w:r>
          </w:p>
        </w:tc>
        <w:tc>
          <w:tcPr>
            <w:tcW w:w="592" w:type="dxa"/>
            <w:tcBorders/>
            <w:vAlign w:val="center"/>
          </w:tcPr>
          <w:p>
            <w:pPr>
              <w:pStyle w:val="TableContents"/>
              <w:bidi w:val="0"/>
              <w:spacing w:before="0" w:after="283"/>
              <w:jc w:val="left"/>
              <w:rPr>
                <w:sz w:val="4"/>
                <w:szCs w:val="4"/>
              </w:rPr>
            </w:pPr>
            <w:r>
              <w:rPr>
                <w:sz w:val="4"/>
                <w:szCs w:val="4"/>
              </w:rPr>
            </w:r>
          </w:p>
        </w:tc>
        <w:tc>
          <w:tcPr>
            <w:tcW w:w="600" w:type="dxa"/>
            <w:tcBorders/>
            <w:vAlign w:val="center"/>
          </w:tcPr>
          <w:p>
            <w:pPr>
              <w:pStyle w:val="TableContents"/>
              <w:bidi w:val="0"/>
              <w:spacing w:before="0" w:after="283"/>
              <w:jc w:val="left"/>
              <w:rPr>
                <w:sz w:val="4"/>
                <w:szCs w:val="4"/>
              </w:rPr>
            </w:pPr>
            <w:r>
              <w:rPr>
                <w:sz w:val="4"/>
                <w:szCs w:val="4"/>
              </w:rPr>
            </w:r>
          </w:p>
        </w:tc>
        <w:tc>
          <w:tcPr>
            <w:tcW w:w="688" w:type="dxa"/>
            <w:tcBorders/>
            <w:vAlign w:val="center"/>
          </w:tcPr>
          <w:p>
            <w:pPr>
              <w:pStyle w:val="TableContents"/>
              <w:bidi w:val="0"/>
              <w:spacing w:before="0" w:after="283"/>
              <w:jc w:val="left"/>
              <w:rPr>
                <w:sz w:val="4"/>
                <w:szCs w:val="4"/>
              </w:rPr>
            </w:pPr>
            <w:r>
              <w:rPr>
                <w:sz w:val="4"/>
                <w:szCs w:val="4"/>
              </w:rPr>
            </w:r>
          </w:p>
        </w:tc>
        <w:tc>
          <w:tcPr>
            <w:tcW w:w="688" w:type="dxa"/>
            <w:tcBorders/>
            <w:vAlign w:val="center"/>
          </w:tcPr>
          <w:p>
            <w:pPr>
              <w:pStyle w:val="TableContents"/>
              <w:bidi w:val="0"/>
              <w:spacing w:before="0" w:after="283"/>
              <w:jc w:val="left"/>
              <w:rPr>
                <w:sz w:val="4"/>
                <w:szCs w:val="4"/>
              </w:rPr>
            </w:pPr>
            <w:r>
              <w:rPr>
                <w:sz w:val="4"/>
                <w:szCs w:val="4"/>
              </w:rPr>
            </w:r>
          </w:p>
        </w:tc>
        <w:tc>
          <w:tcPr>
            <w:tcW w:w="979" w:type="dxa"/>
            <w:tcBorders/>
            <w:vAlign w:val="center"/>
          </w:tcPr>
          <w:p>
            <w:pPr>
              <w:pStyle w:val="TableContents"/>
              <w:bidi w:val="0"/>
              <w:spacing w:before="0" w:after="283"/>
              <w:jc w:val="left"/>
              <w:rPr>
                <w:sz w:val="4"/>
                <w:szCs w:val="4"/>
              </w:rPr>
            </w:pPr>
            <w:r>
              <w:rPr>
                <w:sz w:val="4"/>
                <w:szCs w:val="4"/>
              </w:rPr>
            </w:r>
          </w:p>
        </w:tc>
      </w:tr>
      <w:tr>
        <w:trPr/>
        <w:tc>
          <w:tcPr>
            <w:tcW w:w="37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9"/>
              </w:rPr>
            </w:pPr>
            <w:r>
              <w:rPr>
                <w:rFonts w:ascii="Arial Narrow;sans-serif" w:hAnsi="Arial Narrow;sans-serif"/>
                <w:b/>
                <w:color w:val="000000"/>
                <w:sz w:val="19"/>
              </w:rPr>
              <w:t xml:space="preserve">Delaware </w:t>
            </w:r>
          </w:p>
        </w:tc>
        <w:tc>
          <w:tcPr>
            <w:tcW w:w="17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001-40951</w:t>
            </w:r>
          </w:p>
        </w:tc>
        <w:tc>
          <w:tcPr>
            <w:tcW w:w="23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9"/>
              </w:rPr>
            </w:pPr>
            <w:r>
              <w:rPr>
                <w:rFonts w:ascii="Arial Narrow;sans-serif" w:hAnsi="Arial Narrow;sans-serif"/>
                <w:b/>
                <w:color w:val="000000"/>
                <w:sz w:val="19"/>
              </w:rPr>
              <w:t>87-1104304</w:t>
            </w:r>
          </w:p>
        </w:tc>
      </w:tr>
      <w:tr>
        <w:trPr/>
        <w:tc>
          <w:tcPr>
            <w:tcW w:w="37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6"/>
              </w:rPr>
            </w:pPr>
            <w:r>
              <w:rPr>
                <w:rFonts w:ascii="Arial Narrow;sans-serif" w:hAnsi="Arial Narrow;sans-serif"/>
                <w:b w:val="false"/>
                <w:color w:val="000000"/>
                <w:sz w:val="16"/>
              </w:rPr>
              <w:t>(State or other jurisdiction of incorporation or organization)</w:t>
            </w:r>
          </w:p>
        </w:tc>
        <w:tc>
          <w:tcPr>
            <w:tcW w:w="17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6"/>
              </w:rPr>
            </w:pPr>
            <w:r>
              <w:rPr>
                <w:rFonts w:ascii="Arial Narrow;sans-serif" w:hAnsi="Arial Narrow;sans-serif"/>
                <w:b w:val="false"/>
                <w:color w:val="000000"/>
                <w:sz w:val="16"/>
              </w:rPr>
              <w:t>(Commission File Number)</w:t>
            </w:r>
          </w:p>
        </w:tc>
        <w:tc>
          <w:tcPr>
            <w:tcW w:w="23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6"/>
              </w:rPr>
            </w:pPr>
            <w:r>
              <w:rPr>
                <w:rFonts w:ascii="Arial Narrow;sans-serif" w:hAnsi="Arial Narrow;sans-serif"/>
                <w:b w:val="false"/>
                <w:color w:val="000000"/>
                <w:sz w:val="16"/>
              </w:rPr>
              <w:t>(I.R.S. Employer Identification No.)</w:t>
            </w:r>
          </w:p>
        </w:tc>
      </w:tr>
      <w:tr>
        <w:trPr/>
        <w:tc>
          <w:tcPr>
            <w:tcW w:w="37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74"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Arial Narrow;sans-serif" w:hAnsi="Arial Narrow;sans-serif"/>
                <w:b/>
                <w:color w:val="000000"/>
                <w:sz w:val="19"/>
              </w:rPr>
            </w:pPr>
            <w:r>
              <w:rPr>
                <w:rFonts w:ascii="Arial Narrow;sans-serif" w:hAnsi="Arial Narrow;sans-serif"/>
                <w:b/>
                <w:color w:val="000000"/>
                <w:sz w:val="19"/>
              </w:rPr>
              <w:t>2001 Spring Road, Suite 400, Oak Brook, Illinois 60523</w:t>
            </w:r>
          </w:p>
        </w:tc>
      </w:tr>
      <w:tr>
        <w:trPr/>
        <w:tc>
          <w:tcPr>
            <w:tcW w:w="787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6"/>
              </w:rPr>
            </w:pPr>
            <w:r>
              <w:rPr>
                <w:rFonts w:ascii="Arial Narrow;sans-serif" w:hAnsi="Arial Narrow;sans-serif"/>
                <w:b w:val="false"/>
                <w:color w:val="000000"/>
                <w:sz w:val="16"/>
              </w:rPr>
              <w:t>(Address of principal executive offices)</w:t>
            </w:r>
          </w:p>
        </w:tc>
      </w:tr>
    </w:tbl>
    <w:p>
      <w:pPr>
        <w:pStyle w:val="TextBody"/>
        <w:bidi w:val="0"/>
        <w:spacing w:lineRule="auto" w:line="288" w:before="0" w:after="0"/>
        <w:jc w:val="center"/>
        <w:rPr>
          <w:rFonts w:ascii="Arial Narrow;sans-serif" w:hAnsi="Arial Narrow;sans-serif"/>
          <w:b/>
          <w:color w:val="000000"/>
          <w:sz w:val="24"/>
        </w:rPr>
      </w:pPr>
      <w:r>
        <w:rPr>
          <w:rFonts w:ascii="Arial Narrow;sans-serif" w:hAnsi="Arial Narrow;sans-serif"/>
          <w:b/>
          <w:color w:val="000000"/>
          <w:sz w:val="24"/>
        </w:rPr>
        <w:t>(630)-954-3773</w:t>
      </w:r>
    </w:p>
    <w:p>
      <w:pPr>
        <w:pStyle w:val="TextBody"/>
        <w:bidi w:val="0"/>
        <w:spacing w:lineRule="auto" w:line="288" w:before="0" w:after="0"/>
        <w:jc w:val="center"/>
        <w:rPr>
          <w:rFonts w:ascii="Arial Narrow;sans-serif" w:hAnsi="Arial Narrow;sans-serif"/>
          <w:b w:val="false"/>
          <w:color w:val="000000"/>
          <w:sz w:val="16"/>
        </w:rPr>
      </w:pPr>
      <w:r>
        <w:rPr>
          <w:rFonts w:ascii="Arial Narrow;sans-serif" w:hAnsi="Arial Narrow;sans-serif"/>
          <w:b w:val="false"/>
          <w:color w:val="000000"/>
          <w:sz w:val="16"/>
        </w:rPr>
        <w:t>(Registrant’s telephone number, including area code)</w:t>
      </w:r>
    </w:p>
    <w:tbl>
      <w:tblPr>
        <w:tblW w:w="4034" w:type="dxa"/>
        <w:jc w:val="center"/>
        <w:tblInd w:w="0" w:type="dxa"/>
        <w:tblLayout w:type="fixed"/>
        <w:tblCellMar>
          <w:top w:w="28" w:type="dxa"/>
          <w:left w:w="28" w:type="dxa"/>
          <w:bottom w:w="28" w:type="dxa"/>
          <w:right w:w="28" w:type="dxa"/>
        </w:tblCellMar>
      </w:tblPr>
      <w:tblGrid>
        <w:gridCol w:w="1291"/>
        <w:gridCol w:w="1131"/>
        <w:gridCol w:w="1612"/>
      </w:tblGrid>
      <w:tr>
        <w:trPr/>
        <w:tc>
          <w:tcPr>
            <w:tcW w:w="1291" w:type="dxa"/>
            <w:tcBorders/>
            <w:vAlign w:val="center"/>
          </w:tcPr>
          <w:p>
            <w:pPr>
              <w:pStyle w:val="TableContents"/>
              <w:bidi w:val="0"/>
              <w:spacing w:before="0" w:after="283"/>
              <w:jc w:val="left"/>
              <w:rPr>
                <w:sz w:val="4"/>
                <w:szCs w:val="4"/>
              </w:rPr>
            </w:pPr>
            <w:r>
              <w:rPr>
                <w:sz w:val="4"/>
                <w:szCs w:val="4"/>
              </w:rPr>
            </w:r>
          </w:p>
        </w:tc>
        <w:tc>
          <w:tcPr>
            <w:tcW w:w="1131" w:type="dxa"/>
            <w:tcBorders/>
            <w:vAlign w:val="center"/>
          </w:tcPr>
          <w:p>
            <w:pPr>
              <w:pStyle w:val="TableContents"/>
              <w:bidi w:val="0"/>
              <w:spacing w:before="0" w:after="283"/>
              <w:jc w:val="left"/>
              <w:rPr>
                <w:sz w:val="4"/>
                <w:szCs w:val="4"/>
              </w:rPr>
            </w:pPr>
            <w:r>
              <w:rPr>
                <w:sz w:val="4"/>
                <w:szCs w:val="4"/>
              </w:rPr>
            </w:r>
          </w:p>
        </w:tc>
        <w:tc>
          <w:tcPr>
            <w:tcW w:w="1612" w:type="dxa"/>
            <w:tcBorders/>
            <w:vAlign w:val="center"/>
          </w:tcPr>
          <w:p>
            <w:pPr>
              <w:pStyle w:val="TableContents"/>
              <w:bidi w:val="0"/>
              <w:spacing w:before="0" w:after="283"/>
              <w:jc w:val="left"/>
              <w:rPr>
                <w:sz w:val="4"/>
                <w:szCs w:val="4"/>
              </w:rPr>
            </w:pPr>
            <w:r>
              <w:rPr>
                <w:sz w:val="4"/>
                <w:szCs w:val="4"/>
              </w:rPr>
            </w:r>
          </w:p>
        </w:tc>
      </w:tr>
      <w:tr>
        <w:trPr/>
        <w:tc>
          <w:tcPr>
            <w:tcW w:w="40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N/A</w:t>
            </w:r>
          </w:p>
        </w:tc>
      </w:tr>
      <w:tr>
        <w:trPr/>
        <w:tc>
          <w:tcPr>
            <w:tcW w:w="40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6"/>
              </w:rPr>
            </w:pPr>
            <w:r>
              <w:rPr>
                <w:rFonts w:ascii="Arial Narrow;sans-serif" w:hAnsi="Arial Narrow;sans-serif"/>
                <w:b w:val="false"/>
                <w:color w:val="000000"/>
                <w:sz w:val="16"/>
              </w:rPr>
              <w:t>(Former name or former address, if changed since last report)</w:t>
            </w:r>
          </w:p>
        </w:tc>
      </w:tr>
    </w:tbl>
    <w:p>
      <w:pPr>
        <w:pStyle w:val="TextBody"/>
        <w:bidi w:val="0"/>
        <w:spacing w:before="0" w:after="0"/>
        <w:jc w:val="center"/>
        <w:rPr/>
      </w:pPr>
      <w:r>
        <w:rPr/>
      </w:r>
    </w:p>
    <w:p>
      <w:pPr>
        <w:pStyle w:val="TextBody"/>
        <w:bidi w:val="0"/>
        <w:spacing w:lineRule="auto" w:line="288" w:before="0" w:after="0"/>
        <w:jc w:val="left"/>
        <w:rPr/>
      </w:pPr>
      <w:r>
        <w:rPr>
          <w:rFonts w:ascii="Arial Narrow;sans-serif" w:hAnsi="Arial Narrow;sans-serif"/>
          <w:b w:val="false"/>
          <w:color w:val="000000"/>
          <w:sz w:val="18"/>
        </w:rPr>
        <w:t>Check the appropriate box below if the Form 8-K filing is intended to simultaneously satisfy the filing obligation of the registrant under any of the following provisions (</w:t>
      </w:r>
      <w:r>
        <w:rPr>
          <w:rFonts w:ascii="Arial Narrow;sans-serif" w:hAnsi="Arial Narrow;sans-serif"/>
          <w:b w:val="false"/>
          <w:color w:val="000000"/>
          <w:sz w:val="18"/>
          <w:u w:val="single"/>
        </w:rPr>
        <w:t>see</w:t>
      </w:r>
      <w:r>
        <w:rPr>
          <w:color w:val="000000"/>
        </w:rPr>
        <w:t xml:space="preserve"> </w:t>
      </w:r>
      <w:r>
        <w:rPr>
          <w:rFonts w:ascii="Arial Narrow;sans-serif" w:hAnsi="Arial Narrow;sans-serif"/>
          <w:b w:val="false"/>
          <w:color w:val="000000"/>
          <w:sz w:val="18"/>
        </w:rPr>
        <w:t>General Instruction A.2. below):</w:t>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 xml:space="preserve">☐ </w:t>
      </w:r>
      <w:r>
        <w:rPr>
          <w:rFonts w:ascii="Arial Narrow;sans-serif" w:hAnsi="Arial Narrow;sans-serif"/>
          <w:b w:val="false"/>
          <w:color w:val="000000"/>
          <w:sz w:val="18"/>
        </w:rPr>
        <w:t>Written communications pursuant to Rule 425 under the Securities Act (17 CFR 230.425)</w:t>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 xml:space="preserve">☐ </w:t>
      </w:r>
      <w:r>
        <w:rPr>
          <w:rFonts w:ascii="Arial Narrow;sans-serif" w:hAnsi="Arial Narrow;sans-serif"/>
          <w:b w:val="false"/>
          <w:color w:val="000000"/>
          <w:sz w:val="18"/>
        </w:rPr>
        <w:t>Soliciting material pursuant to Rule 14a-12 under the Exchange Act (17 CFR 240.14a-12)</w:t>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 xml:space="preserve">☐ </w:t>
      </w:r>
      <w:r>
        <w:rPr>
          <w:rFonts w:ascii="Arial Narrow;sans-serif" w:hAnsi="Arial Narrow;sans-serif"/>
          <w:b w:val="false"/>
          <w:color w:val="000000"/>
          <w:sz w:val="18"/>
        </w:rPr>
        <w:t>Pre-commencement communications pursuant to Rule 14d-2(b) under the Exchange Act (17 CFR 240.14d-2(b))</w:t>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 xml:space="preserve">☐ </w:t>
      </w:r>
      <w:r>
        <w:rPr>
          <w:rFonts w:ascii="Arial Narrow;sans-serif" w:hAnsi="Arial Narrow;sans-serif"/>
          <w:b w:val="false"/>
          <w:color w:val="000000"/>
          <w:sz w:val="18"/>
        </w:rPr>
        <w:t>Pre-commencement communications pursuant to Rule 13e-4(c) under the Exchange Act (17 CFR 240.13e-4(c))</w:t>
      </w:r>
    </w:p>
    <w:p>
      <w:pPr>
        <w:pStyle w:val="TextBody"/>
        <w:bidi w:val="0"/>
        <w:spacing w:before="0" w:after="0"/>
        <w:jc w:val="left"/>
        <w:rPr/>
      </w:pPr>
      <w:r>
        <w:rPr/>
      </w:r>
    </w:p>
    <w:p>
      <w:pPr>
        <w:pStyle w:val="TextBody"/>
        <w:bidi w:val="0"/>
        <w:spacing w:lineRule="auto" w:line="288" w:before="0" w:after="0"/>
        <w:jc w:val="left"/>
        <w:rPr>
          <w:rFonts w:ascii="Arial Narrow;sans-serif" w:hAnsi="Arial Narrow;sans-serif"/>
          <w:b w:val="false"/>
          <w:color w:val="000000"/>
          <w:sz w:val="18"/>
        </w:rPr>
      </w:pPr>
      <w:r>
        <w:rPr>
          <w:rFonts w:ascii="Arial Narrow;sans-serif" w:hAnsi="Arial Narrow;sans-serif"/>
          <w:b w:val="false"/>
          <w:color w:val="000000"/>
          <w:sz w:val="18"/>
        </w:rPr>
        <w:t>Securities registered pursuant to Section 12(b) of the Act:</w:t>
      </w:r>
    </w:p>
    <w:tbl>
      <w:tblPr>
        <w:tblW w:w="7768" w:type="dxa"/>
        <w:jc w:val="left"/>
        <w:tblInd w:w="0" w:type="dxa"/>
        <w:tblLayout w:type="fixed"/>
        <w:tblCellMar>
          <w:top w:w="28" w:type="dxa"/>
          <w:left w:w="28" w:type="dxa"/>
          <w:bottom w:w="28" w:type="dxa"/>
          <w:right w:w="28" w:type="dxa"/>
        </w:tblCellMar>
      </w:tblPr>
      <w:tblGrid>
        <w:gridCol w:w="1207"/>
        <w:gridCol w:w="1063"/>
        <w:gridCol w:w="1075"/>
        <w:gridCol w:w="409"/>
        <w:gridCol w:w="409"/>
        <w:gridCol w:w="411"/>
        <w:gridCol w:w="934"/>
        <w:gridCol w:w="934"/>
        <w:gridCol w:w="1326"/>
      </w:tblGrid>
      <w:tr>
        <w:trPr/>
        <w:tc>
          <w:tcPr>
            <w:tcW w:w="1207" w:type="dxa"/>
            <w:tcBorders/>
            <w:vAlign w:val="center"/>
          </w:tcPr>
          <w:p>
            <w:pPr>
              <w:pStyle w:val="TableContents"/>
              <w:bidi w:val="0"/>
              <w:spacing w:before="0" w:after="283"/>
              <w:jc w:val="left"/>
              <w:rPr>
                <w:sz w:val="4"/>
                <w:szCs w:val="4"/>
              </w:rPr>
            </w:pPr>
            <w:r>
              <w:rPr>
                <w:sz w:val="4"/>
                <w:szCs w:val="4"/>
              </w:rPr>
            </w:r>
          </w:p>
        </w:tc>
        <w:tc>
          <w:tcPr>
            <w:tcW w:w="1063" w:type="dxa"/>
            <w:tcBorders/>
            <w:vAlign w:val="center"/>
          </w:tcPr>
          <w:p>
            <w:pPr>
              <w:pStyle w:val="TableContents"/>
              <w:bidi w:val="0"/>
              <w:spacing w:before="0" w:after="283"/>
              <w:jc w:val="left"/>
              <w:rPr>
                <w:sz w:val="4"/>
                <w:szCs w:val="4"/>
              </w:rPr>
            </w:pPr>
            <w:r>
              <w:rPr>
                <w:sz w:val="4"/>
                <w:szCs w:val="4"/>
              </w:rPr>
            </w:r>
          </w:p>
        </w:tc>
        <w:tc>
          <w:tcPr>
            <w:tcW w:w="1075"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934" w:type="dxa"/>
            <w:tcBorders/>
            <w:vAlign w:val="center"/>
          </w:tcPr>
          <w:p>
            <w:pPr>
              <w:pStyle w:val="TableContents"/>
              <w:bidi w:val="0"/>
              <w:spacing w:before="0" w:after="283"/>
              <w:jc w:val="left"/>
              <w:rPr>
                <w:sz w:val="4"/>
                <w:szCs w:val="4"/>
              </w:rPr>
            </w:pPr>
            <w:r>
              <w:rPr>
                <w:sz w:val="4"/>
                <w:szCs w:val="4"/>
              </w:rPr>
            </w:r>
          </w:p>
        </w:tc>
        <w:tc>
          <w:tcPr>
            <w:tcW w:w="934" w:type="dxa"/>
            <w:tcBorders/>
            <w:vAlign w:val="center"/>
          </w:tcPr>
          <w:p>
            <w:pPr>
              <w:pStyle w:val="TableContents"/>
              <w:bidi w:val="0"/>
              <w:spacing w:before="0" w:after="283"/>
              <w:jc w:val="left"/>
              <w:rPr>
                <w:sz w:val="4"/>
                <w:szCs w:val="4"/>
              </w:rPr>
            </w:pPr>
            <w:r>
              <w:rPr>
                <w:sz w:val="4"/>
                <w:szCs w:val="4"/>
              </w:rPr>
            </w:r>
          </w:p>
        </w:tc>
        <w:tc>
          <w:tcPr>
            <w:tcW w:w="1326" w:type="dxa"/>
            <w:tcBorders/>
            <w:vAlign w:val="center"/>
          </w:tcPr>
          <w:p>
            <w:pPr>
              <w:pStyle w:val="TableContents"/>
              <w:bidi w:val="0"/>
              <w:spacing w:before="0" w:after="283"/>
              <w:jc w:val="left"/>
              <w:rPr>
                <w:sz w:val="4"/>
                <w:szCs w:val="4"/>
              </w:rPr>
            </w:pPr>
            <w:r>
              <w:rPr>
                <w:sz w:val="4"/>
                <w:szCs w:val="4"/>
              </w:rPr>
            </w:r>
          </w:p>
        </w:tc>
      </w:tr>
      <w:tr>
        <w:trPr/>
        <w:tc>
          <w:tcPr>
            <w:tcW w:w="3345"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Arial Narrow;sans-serif" w:hAnsi="Arial Narrow;sans-serif"/>
                <w:b/>
                <w:color w:val="000000"/>
                <w:sz w:val="18"/>
              </w:rPr>
            </w:pPr>
            <w:r>
              <w:rPr>
                <w:rFonts w:ascii="Arial Narrow;sans-serif" w:hAnsi="Arial Narrow;sans-serif"/>
                <w:b/>
                <w:color w:val="000000"/>
                <w:sz w:val="18"/>
              </w:rPr>
              <w:t>Title of each class</w:t>
            </w:r>
          </w:p>
        </w:tc>
        <w:tc>
          <w:tcPr>
            <w:tcW w:w="1229"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Arial Narrow;sans-serif" w:hAnsi="Arial Narrow;sans-serif"/>
                <w:b/>
                <w:color w:val="000000"/>
                <w:sz w:val="18"/>
              </w:rPr>
            </w:pPr>
            <w:r>
              <w:rPr>
                <w:rFonts w:ascii="Arial Narrow;sans-serif" w:hAnsi="Arial Narrow;sans-serif"/>
                <w:b/>
                <w:color w:val="000000"/>
                <w:sz w:val="18"/>
              </w:rPr>
              <w:t>Trading Symbol</w:t>
            </w:r>
          </w:p>
        </w:tc>
        <w:tc>
          <w:tcPr>
            <w:tcW w:w="3194"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Arial Narrow;sans-serif" w:hAnsi="Arial Narrow;sans-serif"/>
                <w:b/>
                <w:color w:val="000000"/>
                <w:sz w:val="18"/>
              </w:rPr>
            </w:pPr>
            <w:r>
              <w:rPr>
                <w:rFonts w:ascii="Arial Narrow;sans-serif" w:hAnsi="Arial Narrow;sans-serif"/>
                <w:b/>
                <w:color w:val="000000"/>
                <w:sz w:val="18"/>
              </w:rPr>
              <w:t>Name of each exchange on which registered</w:t>
            </w:r>
          </w:p>
        </w:tc>
      </w:tr>
      <w:tr>
        <w:trPr/>
        <w:tc>
          <w:tcPr>
            <w:tcW w:w="3345"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Arial Narrow;sans-serif" w:hAnsi="Arial Narrow;sans-serif"/>
                <w:b w:val="false"/>
                <w:color w:val="000000"/>
                <w:sz w:val="18"/>
              </w:rPr>
            </w:pPr>
            <w:r>
              <w:rPr>
                <w:rFonts w:ascii="Arial Narrow;sans-serif" w:hAnsi="Arial Narrow;sans-serif"/>
                <w:b w:val="false"/>
                <w:color w:val="000000"/>
                <w:sz w:val="18"/>
              </w:rPr>
              <w:t>Class A Common Stock, $0.01 par value per share</w:t>
            </w:r>
          </w:p>
        </w:tc>
        <w:tc>
          <w:tcPr>
            <w:tcW w:w="1229"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Arial Narrow;sans-serif" w:hAnsi="Arial Narrow;sans-serif"/>
                <w:b w:val="false"/>
                <w:color w:val="000000"/>
                <w:sz w:val="18"/>
              </w:rPr>
            </w:pPr>
            <w:r>
              <w:rPr>
                <w:rFonts w:ascii="Arial Narrow;sans-serif" w:hAnsi="Arial Narrow;sans-serif"/>
                <w:b w:val="false"/>
                <w:color w:val="000000"/>
                <w:sz w:val="18"/>
              </w:rPr>
              <w:t>PTLO</w:t>
            </w:r>
          </w:p>
        </w:tc>
        <w:tc>
          <w:tcPr>
            <w:tcW w:w="3194"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Arial Narrow;sans-serif" w:hAnsi="Arial Narrow;sans-serif"/>
                <w:b w:val="false"/>
                <w:color w:val="000000"/>
                <w:sz w:val="18"/>
              </w:rPr>
            </w:pPr>
            <w:r>
              <w:rPr>
                <w:rFonts w:ascii="Arial Narrow;sans-serif" w:hAnsi="Arial Narrow;sans-serif"/>
                <w:b w:val="false"/>
                <w:color w:val="000000"/>
                <w:sz w:val="18"/>
              </w:rPr>
              <w:t>Nasdaq Global Select Market</w:t>
            </w:r>
          </w:p>
        </w:tc>
      </w:tr>
    </w:tbl>
    <w:p>
      <w:pPr>
        <w:pStyle w:val="TextBody"/>
        <w:bidi w:val="0"/>
        <w:spacing w:before="0" w:after="0"/>
        <w:jc w:val="left"/>
        <w:rPr/>
      </w:pPr>
      <w:r>
        <w:rPr/>
      </w:r>
    </w:p>
    <w:p>
      <w:pPr>
        <w:pStyle w:val="TextBody"/>
        <w:bidi w:val="0"/>
        <w:spacing w:lineRule="auto" w:line="288" w:before="0" w:after="0"/>
        <w:jc w:val="left"/>
        <w:rPr>
          <w:rFonts w:ascii="Arial Narrow;sans-serif" w:hAnsi="Arial Narrow;sans-serif"/>
          <w:b w:val="false"/>
          <w:color w:val="000000"/>
          <w:sz w:val="18"/>
        </w:rPr>
      </w:pPr>
      <w:r>
        <w:rPr>
          <w:rFonts w:ascii="Arial Narrow;sans-serif" w:hAnsi="Arial Narrow;sans-serif"/>
          <w:b w:val="false"/>
          <w:color w:val="000000"/>
          <w:sz w:val="18"/>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lineRule="auto" w:line="288" w:before="0" w:after="0"/>
        <w:jc w:val="left"/>
        <w:rPr>
          <w:rFonts w:ascii="Arial Narrow;sans-serif" w:hAnsi="Arial Narrow;sans-serif"/>
          <w:b w:val="false"/>
          <w:color w:val="000000"/>
          <w:sz w:val="18"/>
        </w:rPr>
      </w:pPr>
      <w:r>
        <w:rPr>
          <w:rFonts w:ascii="Arial Narrow;sans-serif" w:hAnsi="Arial Narrow;sans-serif"/>
          <w:b w:val="false"/>
          <w:color w:val="000000"/>
          <w:sz w:val="18"/>
        </w:rPr>
        <w:t>Emerging growth company ☐</w:t>
      </w:r>
    </w:p>
    <w:p>
      <w:pPr>
        <w:pStyle w:val="TextBody"/>
        <w:bidi w:val="0"/>
        <w:spacing w:before="0" w:after="0"/>
        <w:jc w:val="left"/>
        <w:rPr/>
      </w:pPr>
      <w:r>
        <w:rPr/>
      </w:r>
    </w:p>
    <w:p>
      <w:pPr>
        <w:pStyle w:val="TextBody"/>
        <w:bidi w:val="0"/>
        <w:spacing w:lineRule="auto" w:line="288" w:before="0" w:after="0"/>
        <w:jc w:val="left"/>
        <w:rPr>
          <w:rFonts w:ascii="Arial Narrow;sans-serif" w:hAnsi="Arial Narrow;sans-serif"/>
          <w:b w:val="false"/>
          <w:color w:val="000000"/>
          <w:sz w:val="18"/>
        </w:rPr>
      </w:pPr>
      <w:r>
        <w:rPr>
          <w:rFonts w:ascii="Arial Narrow;sans-serif" w:hAnsi="Arial Narrow;sans-serif"/>
          <w:b w:val="false"/>
          <w:color w:val="000000"/>
          <w:sz w:val="18"/>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76" w:before="0" w:after="0"/>
        <w:jc w:val="left"/>
        <w:rPr>
          <w:rFonts w:ascii="Arial Narrow;sans-serif" w:hAnsi="Arial Narrow;sans-serif"/>
          <w:b/>
          <w:color w:val="414042"/>
          <w:sz w:val="24"/>
        </w:rPr>
      </w:pPr>
      <w:r>
        <w:rPr>
          <w:rFonts w:ascii="Arial Narrow;sans-serif" w:hAnsi="Arial Narrow;sans-serif"/>
          <w:b/>
          <w:color w:val="414042"/>
          <w:sz w:val="24"/>
        </w:rPr>
        <w:t>Item 5.07 Submission of Matters to a Vote of Security Holders.</w:t>
      </w:r>
    </w:p>
    <w:p>
      <w:pPr>
        <w:pStyle w:val="TextBody"/>
        <w:bidi w:val="0"/>
        <w:spacing w:before="0" w:after="0"/>
        <w:jc w:val="left"/>
        <w:rPr/>
      </w:pPr>
      <w:r>
        <w:rPr/>
      </w:r>
    </w:p>
    <w:p>
      <w:pPr>
        <w:pStyle w:val="TextBody"/>
        <w:bidi w:val="0"/>
        <w:spacing w:lineRule="auto" w:line="268" w:before="0" w:after="0"/>
        <w:jc w:val="left"/>
        <w:rPr/>
      </w:pPr>
      <w:r>
        <w:rPr>
          <w:rFonts w:ascii="Arial Narrow;sans-serif" w:hAnsi="Arial Narrow;sans-serif"/>
          <w:b w:val="false"/>
          <w:color w:val="000000"/>
          <w:sz w:val="20"/>
          <w:shd w:fill="FFFFFF" w:val="clear"/>
        </w:rPr>
        <w:t>On June 9, 2026, Portillo’s Inc. (NASDAQ:PTLO) (the “Company”) held its 2026 Annual Meeting of Shareholders (the “Annual Meeting”). At the close of business o</w:t>
      </w:r>
      <w:r>
        <w:rPr>
          <w:rFonts w:ascii="Arial Narrow;sans-serif" w:hAnsi="Arial Narrow;sans-serif"/>
          <w:b w:val="false"/>
          <w:color w:val="000000"/>
          <w:sz w:val="20"/>
        </w:rPr>
        <w:t>n April 10, 2026,</w:t>
      </w:r>
      <w:r>
        <w:rPr>
          <w:color w:val="000000"/>
          <w:shd w:fill="FFFFFF" w:val="clear"/>
        </w:rPr>
        <w:t xml:space="preserve"> </w:t>
      </w:r>
      <w:r>
        <w:rPr>
          <w:rFonts w:ascii="Arial Narrow;sans-serif" w:hAnsi="Arial Narrow;sans-serif"/>
          <w:b w:val="false"/>
          <w:color w:val="000000"/>
          <w:sz w:val="20"/>
          <w:shd w:fill="FFFFFF" w:val="clear"/>
        </w:rPr>
        <w:t>the record date for determination of shareholders entitled to vote at the Annual Meeting, there w</w:t>
      </w:r>
      <w:r>
        <w:rPr>
          <w:rFonts w:ascii="Arial Narrow;sans-serif" w:hAnsi="Arial Narrow;sans-serif"/>
          <w:b w:val="false"/>
          <w:color w:val="000000"/>
          <w:sz w:val="20"/>
        </w:rPr>
        <w:t>ere 72,160,015 s</w:t>
      </w:r>
      <w:r>
        <w:rPr>
          <w:rFonts w:ascii="Arial Narrow;sans-serif" w:hAnsi="Arial Narrow;sans-serif"/>
          <w:b w:val="false"/>
          <w:color w:val="000000"/>
          <w:sz w:val="20"/>
          <w:shd w:fill="FFFFFF" w:val="clear"/>
        </w:rPr>
        <w:t>hares of Class A common stock outstanding and entitled to vote a</w:t>
      </w:r>
      <w:r>
        <w:rPr>
          <w:rFonts w:ascii="Arial Narrow;sans-serif" w:hAnsi="Arial Narrow;sans-serif"/>
          <w:b w:val="false"/>
          <w:color w:val="000000"/>
          <w:sz w:val="20"/>
        </w:rPr>
        <w:t>nd 3,424,546 shares of Class B common stock outstanding and entitled to vote.</w:t>
      </w:r>
    </w:p>
    <w:p>
      <w:pPr>
        <w:pStyle w:val="TextBody"/>
        <w:bidi w:val="0"/>
        <w:spacing w:before="0" w:after="0"/>
        <w:jc w:val="left"/>
        <w:rPr/>
      </w:pPr>
      <w:r>
        <w:rPr/>
      </w:r>
    </w:p>
    <w:p>
      <w:pPr>
        <w:pStyle w:val="TextBody"/>
        <w:bidi w:val="0"/>
        <w:spacing w:lineRule="auto" w:line="268" w:before="0" w:after="0"/>
        <w:jc w:val="left"/>
        <w:rPr>
          <w:rFonts w:ascii="Arial Narrow;sans-serif" w:hAnsi="Arial Narrow;sans-serif"/>
          <w:b w:val="false"/>
          <w:color w:val="000000"/>
          <w:sz w:val="20"/>
        </w:rPr>
      </w:pPr>
      <w:r>
        <w:rPr>
          <w:rFonts w:ascii="Arial Narrow;sans-serif" w:hAnsi="Arial Narrow;sans-serif"/>
          <w:b w:val="false"/>
          <w:color w:val="000000"/>
          <w:sz w:val="20"/>
        </w:rPr>
        <w:t>At the Annual Meeting, the Company’s shareholders (i) elected seven directors to serve until the Company’s next annual meeting in 2027, or until their successors have been duly elected and qualified; (ii) approved, on an advisory basis, the compensation of the Company’s Named Executive Officers; and (iii) ratified the appointment of Deloitte &amp; Touche LLP as the Company’s independent auditor for fiscal year 2026.</w:t>
      </w:r>
    </w:p>
    <w:p>
      <w:pPr>
        <w:pStyle w:val="TextBody"/>
        <w:bidi w:val="0"/>
        <w:spacing w:before="0" w:after="0"/>
        <w:jc w:val="left"/>
        <w:rPr/>
      </w:pPr>
      <w:r>
        <w:rPr/>
      </w:r>
    </w:p>
    <w:p>
      <w:pPr>
        <w:pStyle w:val="TextBody"/>
        <w:bidi w:val="0"/>
        <w:spacing w:lineRule="auto" w:line="268" w:before="0" w:after="0"/>
        <w:jc w:val="left"/>
        <w:rPr>
          <w:rFonts w:ascii="Arial Narrow;sans-serif" w:hAnsi="Arial Narrow;sans-serif"/>
          <w:b w:val="false"/>
          <w:color w:val="000000"/>
          <w:sz w:val="20"/>
        </w:rPr>
      </w:pPr>
      <w:r>
        <w:rPr>
          <w:rFonts w:ascii="Arial Narrow;sans-serif" w:hAnsi="Arial Narrow;sans-serif"/>
          <w:b w:val="false"/>
          <w:color w:val="000000"/>
          <w:sz w:val="20"/>
        </w:rPr>
        <w:t>The final results are as follows:</w:t>
      </w:r>
    </w:p>
    <w:p>
      <w:pPr>
        <w:pStyle w:val="TextBody"/>
        <w:bidi w:val="0"/>
        <w:spacing w:before="0" w:after="0"/>
        <w:jc w:val="left"/>
        <w:rPr/>
      </w:pPr>
      <w:r>
        <w:rPr/>
      </w:r>
    </w:p>
    <w:tbl>
      <w:tblPr>
        <w:tblW w:w="6472" w:type="dxa"/>
        <w:jc w:val="left"/>
        <w:tblInd w:w="0" w:type="dxa"/>
        <w:tblLayout w:type="fixed"/>
        <w:tblCellMar>
          <w:top w:w="28" w:type="dxa"/>
          <w:left w:w="28" w:type="dxa"/>
          <w:bottom w:w="28" w:type="dxa"/>
          <w:right w:w="28" w:type="dxa"/>
        </w:tblCellMar>
      </w:tblPr>
      <w:tblGrid>
        <w:gridCol w:w="793"/>
        <w:gridCol w:w="697"/>
        <w:gridCol w:w="700"/>
        <w:gridCol w:w="109"/>
        <w:gridCol w:w="109"/>
        <w:gridCol w:w="109"/>
        <w:gridCol w:w="304"/>
        <w:gridCol w:w="304"/>
        <w:gridCol w:w="308"/>
        <w:gridCol w:w="109"/>
        <w:gridCol w:w="109"/>
        <w:gridCol w:w="109"/>
        <w:gridCol w:w="275"/>
        <w:gridCol w:w="275"/>
        <w:gridCol w:w="276"/>
        <w:gridCol w:w="109"/>
        <w:gridCol w:w="109"/>
        <w:gridCol w:w="109"/>
        <w:gridCol w:w="456"/>
        <w:gridCol w:w="456"/>
        <w:gridCol w:w="647"/>
      </w:tblGrid>
      <w:tr>
        <w:trPr/>
        <w:tc>
          <w:tcPr>
            <w:tcW w:w="793" w:type="dxa"/>
            <w:tcBorders/>
            <w:vAlign w:val="center"/>
          </w:tcPr>
          <w:p>
            <w:pPr>
              <w:pStyle w:val="TableContents"/>
              <w:bidi w:val="0"/>
              <w:spacing w:before="0" w:after="283"/>
              <w:jc w:val="left"/>
              <w:rPr>
                <w:sz w:val="4"/>
                <w:szCs w:val="4"/>
              </w:rPr>
            </w:pPr>
            <w:r>
              <w:rPr>
                <w:sz w:val="4"/>
                <w:szCs w:val="4"/>
              </w:rPr>
            </w:r>
          </w:p>
        </w:tc>
        <w:tc>
          <w:tcPr>
            <w:tcW w:w="697" w:type="dxa"/>
            <w:tcBorders/>
            <w:vAlign w:val="center"/>
          </w:tcPr>
          <w:p>
            <w:pPr>
              <w:pStyle w:val="TableContents"/>
              <w:bidi w:val="0"/>
              <w:spacing w:before="0" w:after="283"/>
              <w:jc w:val="left"/>
              <w:rPr>
                <w:sz w:val="4"/>
                <w:szCs w:val="4"/>
              </w:rPr>
            </w:pPr>
            <w:r>
              <w:rPr>
                <w:sz w:val="4"/>
                <w:szCs w:val="4"/>
              </w:rPr>
            </w:r>
          </w:p>
        </w:tc>
        <w:tc>
          <w:tcPr>
            <w:tcW w:w="70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647" w:type="dxa"/>
            <w:tcBorders/>
            <w:vAlign w:val="center"/>
          </w:tcPr>
          <w:p>
            <w:pPr>
              <w:pStyle w:val="TableContents"/>
              <w:bidi w:val="0"/>
              <w:spacing w:before="0" w:after="283"/>
              <w:jc w:val="left"/>
              <w:rPr>
                <w:sz w:val="4"/>
                <w:szCs w:val="4"/>
              </w:rPr>
            </w:pPr>
            <w:r>
              <w:rPr>
                <w:sz w:val="4"/>
                <w:szCs w:val="4"/>
              </w:rPr>
            </w:r>
          </w:p>
        </w:tc>
      </w:tr>
      <w:tr>
        <w:trPr/>
        <w:tc>
          <w:tcPr>
            <w:tcW w:w="21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20"/>
              </w:rPr>
            </w:pPr>
            <w:r>
              <w:rPr>
                <w:rFonts w:ascii="Arial Narrow;sans-serif" w:hAnsi="Arial Narrow;sans-serif"/>
                <w:b/>
                <w:color w:val="000000"/>
                <w:sz w:val="20"/>
              </w:rPr>
              <w:t>Director Election Proposal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Arial Narrow;sans-serif" w:hAnsi="Arial Narrow;sans-serif"/>
                <w:b/>
                <w:color w:val="000000"/>
                <w:sz w:val="20"/>
              </w:rPr>
              <w:t>For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Withhold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Broker Non-Votes</w:t>
            </w:r>
          </w:p>
        </w:tc>
      </w:tr>
      <w:tr>
        <w:trPr/>
        <w:tc>
          <w:tcPr>
            <w:tcW w:w="219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 Narrow;sans-serif" w:hAnsi="Arial Narrow;sans-serif"/>
                <w:b w:val="false"/>
                <w:color w:val="000000"/>
                <w:sz w:val="20"/>
              </w:rPr>
            </w:pPr>
            <w:r>
              <w:rPr>
                <w:rFonts w:ascii="Arial Narrow;sans-serif" w:hAnsi="Arial Narrow;sans-serif"/>
                <w:b w:val="false"/>
                <w:color w:val="000000"/>
                <w:sz w:val="20"/>
              </w:rPr>
              <w:t xml:space="preserve">Eugene I. Lee, Jr.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41,248,080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1,026,855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19,301,913</w:t>
            </w:r>
          </w:p>
        </w:tc>
      </w:tr>
      <w:tr>
        <w:trPr/>
        <w:tc>
          <w:tcPr>
            <w:tcW w:w="21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Brett Patterson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40,835,122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1,439,813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19,301,913</w:t>
            </w:r>
          </w:p>
        </w:tc>
      </w:tr>
      <w:tr>
        <w:trPr/>
        <w:tc>
          <w:tcPr>
            <w:tcW w:w="21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Ann Bordelon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37,580,835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4,694,100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19,301,913</w:t>
            </w:r>
          </w:p>
        </w:tc>
      </w:tr>
      <w:tr>
        <w:trPr/>
        <w:tc>
          <w:tcPr>
            <w:tcW w:w="21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Paulette R. Dodson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37,489,684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4,785,251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19,301,913</w:t>
            </w:r>
          </w:p>
        </w:tc>
      </w:tr>
      <w:tr>
        <w:trPr/>
        <w:tc>
          <w:tcPr>
            <w:tcW w:w="21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Noah Glass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38,226,689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4,048,246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19,301,913</w:t>
            </w:r>
          </w:p>
        </w:tc>
      </w:tr>
      <w:tr>
        <w:trPr/>
        <w:tc>
          <w:tcPr>
            <w:tcW w:w="21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Gerard J. Hart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39,311,755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2,963,180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19,301,913</w:t>
            </w:r>
          </w:p>
        </w:tc>
      </w:tr>
      <w:tr>
        <w:trPr/>
        <w:tc>
          <w:tcPr>
            <w:tcW w:w="219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 Narrow;sans-serif" w:hAnsi="Arial Narrow;sans-serif"/>
                <w:b w:val="false"/>
                <w:color w:val="000000"/>
                <w:sz w:val="20"/>
              </w:rPr>
            </w:pPr>
            <w:r>
              <w:rPr>
                <w:rFonts w:ascii="Arial Narrow;sans-serif" w:hAnsi="Arial Narrow;sans-serif"/>
                <w:b w:val="false"/>
                <w:color w:val="000000"/>
                <w:sz w:val="20"/>
              </w:rPr>
              <w:t>Jack Hartung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41,023,662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1,251,273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19,301,913</w:t>
            </w:r>
          </w:p>
        </w:tc>
      </w:tr>
    </w:tbl>
    <w:tbl>
      <w:tblPr>
        <w:tblW w:w="10205" w:type="dxa"/>
        <w:jc w:val="left"/>
        <w:tblInd w:w="0" w:type="dxa"/>
        <w:tblLayout w:type="fixed"/>
        <w:tblCellMar>
          <w:top w:w="28" w:type="dxa"/>
          <w:left w:w="28" w:type="dxa"/>
          <w:bottom w:w="28" w:type="dxa"/>
          <w:right w:w="28" w:type="dxa"/>
        </w:tblCellMar>
      </w:tblPr>
      <w:tblGrid>
        <w:gridCol w:w="1848"/>
        <w:gridCol w:w="1571"/>
        <w:gridCol w:w="1577"/>
        <w:gridCol w:w="109"/>
        <w:gridCol w:w="109"/>
        <w:gridCol w:w="109"/>
        <w:gridCol w:w="304"/>
        <w:gridCol w:w="304"/>
        <w:gridCol w:w="308"/>
        <w:gridCol w:w="109"/>
        <w:gridCol w:w="109"/>
        <w:gridCol w:w="109"/>
        <w:gridCol w:w="274"/>
        <w:gridCol w:w="274"/>
        <w:gridCol w:w="278"/>
        <w:gridCol w:w="109"/>
        <w:gridCol w:w="109"/>
        <w:gridCol w:w="109"/>
        <w:gridCol w:w="240"/>
        <w:gridCol w:w="240"/>
        <w:gridCol w:w="241"/>
        <w:gridCol w:w="109"/>
        <w:gridCol w:w="109"/>
        <w:gridCol w:w="109"/>
        <w:gridCol w:w="420"/>
        <w:gridCol w:w="420"/>
        <w:gridCol w:w="598"/>
      </w:tblGrid>
      <w:tr>
        <w:trPr/>
        <w:tc>
          <w:tcPr>
            <w:tcW w:w="1848" w:type="dxa"/>
            <w:tcBorders/>
            <w:vAlign w:val="center"/>
          </w:tcPr>
          <w:p>
            <w:pPr>
              <w:pStyle w:val="TableContents"/>
              <w:bidi w:val="0"/>
              <w:spacing w:before="0" w:after="283"/>
              <w:jc w:val="left"/>
              <w:rPr>
                <w:sz w:val="4"/>
                <w:szCs w:val="4"/>
              </w:rPr>
            </w:pPr>
            <w:r>
              <w:rPr>
                <w:sz w:val="4"/>
                <w:szCs w:val="4"/>
              </w:rPr>
            </w:r>
          </w:p>
        </w:tc>
        <w:tc>
          <w:tcPr>
            <w:tcW w:w="1571" w:type="dxa"/>
            <w:tcBorders/>
            <w:vAlign w:val="center"/>
          </w:tcPr>
          <w:p>
            <w:pPr>
              <w:pStyle w:val="TableContents"/>
              <w:bidi w:val="0"/>
              <w:spacing w:before="0" w:after="283"/>
              <w:jc w:val="left"/>
              <w:rPr>
                <w:sz w:val="4"/>
                <w:szCs w:val="4"/>
              </w:rPr>
            </w:pPr>
            <w:r>
              <w:rPr>
                <w:sz w:val="4"/>
                <w:szCs w:val="4"/>
              </w:rPr>
            </w:r>
          </w:p>
        </w:tc>
        <w:tc>
          <w:tcPr>
            <w:tcW w:w="15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598" w:type="dxa"/>
            <w:tcBorders/>
            <w:vAlign w:val="center"/>
          </w:tcPr>
          <w:p>
            <w:pPr>
              <w:pStyle w:val="TableContents"/>
              <w:bidi w:val="0"/>
              <w:spacing w:before="0" w:after="283"/>
              <w:jc w:val="left"/>
              <w:rPr>
                <w:sz w:val="4"/>
                <w:szCs w:val="4"/>
              </w:rPr>
            </w:pPr>
            <w:r>
              <w:rPr>
                <w:sz w:val="4"/>
                <w:szCs w:val="4"/>
              </w:rPr>
            </w:r>
          </w:p>
        </w:tc>
      </w:tr>
      <w:tr>
        <w:trPr/>
        <w:tc>
          <w:tcPr>
            <w:tcW w:w="499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20"/>
              </w:rPr>
            </w:pPr>
            <w:r>
              <w:rPr>
                <w:rFonts w:ascii="Arial Narrow;sans-serif" w:hAnsi="Arial Narrow;sans-serif"/>
                <w:b/>
                <w:color w:val="000000"/>
                <w:sz w:val="20"/>
              </w:rPr>
              <w:t>Say on Pay Proposal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For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Against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Abstain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Broker Non-Votes</w:t>
            </w:r>
          </w:p>
        </w:tc>
      </w:tr>
      <w:tr>
        <w:trPr/>
        <w:tc>
          <w:tcPr>
            <w:tcW w:w="49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Ratification of the approval, on an advisory basis, of the compensation for our NEOs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38,587,229</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3,260,842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426,864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19,301,913</w:t>
            </w:r>
          </w:p>
        </w:tc>
      </w:tr>
    </w:tbl>
    <w:p>
      <w:pPr>
        <w:pStyle w:val="TextBody"/>
        <w:bidi w:val="0"/>
        <w:spacing w:before="0" w:after="0"/>
        <w:jc w:val="left"/>
        <w:rPr/>
      </w:pPr>
      <w:r>
        <w:rPr/>
      </w:r>
    </w:p>
    <w:tbl>
      <w:tblPr>
        <w:tblW w:w="9294" w:type="dxa"/>
        <w:jc w:val="left"/>
        <w:tblInd w:w="0" w:type="dxa"/>
        <w:tblLayout w:type="fixed"/>
        <w:tblCellMar>
          <w:top w:w="28" w:type="dxa"/>
          <w:left w:w="28" w:type="dxa"/>
          <w:bottom w:w="28" w:type="dxa"/>
          <w:right w:w="28" w:type="dxa"/>
        </w:tblCellMar>
      </w:tblPr>
      <w:tblGrid>
        <w:gridCol w:w="2101"/>
        <w:gridCol w:w="1850"/>
        <w:gridCol w:w="1854"/>
        <w:gridCol w:w="109"/>
        <w:gridCol w:w="109"/>
        <w:gridCol w:w="109"/>
        <w:gridCol w:w="304"/>
        <w:gridCol w:w="304"/>
        <w:gridCol w:w="308"/>
        <w:gridCol w:w="109"/>
        <w:gridCol w:w="109"/>
        <w:gridCol w:w="109"/>
        <w:gridCol w:w="274"/>
        <w:gridCol w:w="274"/>
        <w:gridCol w:w="278"/>
        <w:gridCol w:w="109"/>
        <w:gridCol w:w="109"/>
        <w:gridCol w:w="109"/>
        <w:gridCol w:w="224"/>
        <w:gridCol w:w="224"/>
        <w:gridCol w:w="318"/>
      </w:tblGrid>
      <w:tr>
        <w:trPr/>
        <w:tc>
          <w:tcPr>
            <w:tcW w:w="2101" w:type="dxa"/>
            <w:tcBorders/>
            <w:vAlign w:val="center"/>
          </w:tcPr>
          <w:p>
            <w:pPr>
              <w:pStyle w:val="TableContents"/>
              <w:bidi w:val="0"/>
              <w:spacing w:before="0" w:after="283"/>
              <w:jc w:val="left"/>
              <w:rPr>
                <w:sz w:val="4"/>
                <w:szCs w:val="4"/>
              </w:rPr>
            </w:pPr>
            <w:r>
              <w:rPr>
                <w:sz w:val="4"/>
                <w:szCs w:val="4"/>
              </w:rPr>
            </w:r>
          </w:p>
        </w:tc>
        <w:tc>
          <w:tcPr>
            <w:tcW w:w="1850" w:type="dxa"/>
            <w:tcBorders/>
            <w:vAlign w:val="center"/>
          </w:tcPr>
          <w:p>
            <w:pPr>
              <w:pStyle w:val="TableContents"/>
              <w:bidi w:val="0"/>
              <w:spacing w:before="0" w:after="283"/>
              <w:jc w:val="left"/>
              <w:rPr>
                <w:sz w:val="4"/>
                <w:szCs w:val="4"/>
              </w:rPr>
            </w:pPr>
            <w:r>
              <w:rPr>
                <w:sz w:val="4"/>
                <w:szCs w:val="4"/>
              </w:rPr>
            </w:r>
          </w:p>
        </w:tc>
        <w:tc>
          <w:tcPr>
            <w:tcW w:w="18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r>
      <w:tr>
        <w:trPr/>
        <w:tc>
          <w:tcPr>
            <w:tcW w:w="58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20"/>
              </w:rPr>
            </w:pPr>
            <w:r>
              <w:rPr>
                <w:rFonts w:ascii="Arial Narrow;sans-serif" w:hAnsi="Arial Narrow;sans-serif"/>
                <w:b/>
                <w:color w:val="000000"/>
                <w:sz w:val="20"/>
              </w:rPr>
              <w:t>Auditor Ratification Proposal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For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Against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Abstain</w:t>
            </w:r>
          </w:p>
        </w:tc>
      </w:tr>
      <w:tr>
        <w:trPr/>
        <w:tc>
          <w:tcPr>
            <w:tcW w:w="58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Ratification of Deloitte &amp; Touche LLP as independent auditor for fiscal year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59,880,212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1,348,904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347,732</w:t>
            </w:r>
          </w:p>
        </w:tc>
      </w:tr>
    </w:tbl>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3"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center"/>
        <w:rPr/>
      </w:pPr>
      <w:r>
        <w:rPr/>
      </w:r>
    </w:p>
    <w:p>
      <w:pPr>
        <w:pStyle w:val="TextBody"/>
        <w:bidi w:val="0"/>
        <w:spacing w:lineRule="auto" w:line="288" w:before="0" w:after="0"/>
        <w:jc w:val="left"/>
        <w:rPr>
          <w:rFonts w:ascii="Arial Narrow;sans-serif" w:hAnsi="Arial Narrow;sans-serif"/>
          <w:b/>
          <w:color w:val="414042"/>
          <w:sz w:val="20"/>
        </w:rPr>
      </w:pPr>
      <w:r>
        <w:rPr>
          <w:rFonts w:ascii="Arial Narrow;sans-serif" w:hAnsi="Arial Narrow;sans-serif"/>
          <w:b/>
          <w:color w:val="414042"/>
          <w:sz w:val="20"/>
        </w:rPr>
        <w:t xml:space="preserve">SIGNATURES </w:t>
      </w:r>
    </w:p>
    <w:p>
      <w:pPr>
        <w:pStyle w:val="TextBody"/>
        <w:bidi w:val="0"/>
        <w:spacing w:before="0" w:after="0"/>
        <w:jc w:val="center"/>
        <w:rPr/>
      </w:pPr>
      <w:r>
        <w:rPr/>
      </w:r>
    </w:p>
    <w:p>
      <w:pPr>
        <w:pStyle w:val="TextBody"/>
        <w:bidi w:val="0"/>
        <w:spacing w:lineRule="auto" w:line="268" w:before="0" w:after="0"/>
        <w:jc w:val="left"/>
        <w:rPr>
          <w:rFonts w:ascii="Arial Narrow;sans-serif" w:hAnsi="Arial Narrow;sans-serif"/>
          <w:b w:val="false"/>
          <w:color w:val="000000"/>
          <w:sz w:val="20"/>
        </w:rPr>
      </w:pPr>
      <w:r>
        <w:rPr>
          <w:rFonts w:ascii="Arial Narrow;sans-serif" w:hAnsi="Arial Narrow;sans-serif"/>
          <w:b w:val="false"/>
          <w:color w:val="000000"/>
          <w:sz w:val="20"/>
        </w:rPr>
        <w:t>Pursuant to the requirements of the Securities Exchange Act of 1934, the registrant has duly caused this report to be signed on its behalf by the undersigned, thereto duly authorized.</w:t>
      </w:r>
    </w:p>
    <w:p>
      <w:pPr>
        <w:pStyle w:val="TextBody"/>
        <w:bidi w:val="0"/>
        <w:spacing w:before="0" w:after="0"/>
        <w:jc w:val="left"/>
        <w:rPr/>
      </w:pPr>
      <w:r>
        <w:rPr/>
      </w:r>
    </w:p>
    <w:p>
      <w:pPr>
        <w:pStyle w:val="TextBody"/>
        <w:bidi w:val="0"/>
        <w:spacing w:lineRule="auto" w:line="268" w:before="0" w:after="0"/>
        <w:jc w:val="left"/>
        <w:rPr>
          <w:color w:val="000000"/>
        </w:rPr>
      </w:pPr>
      <w:r>
        <w:rPr>
          <w:color w:val="000000"/>
        </w:rPr>
        <w:t> </w:t>
      </w:r>
    </w:p>
    <w:tbl>
      <w:tblPr>
        <w:tblW w:w="4631" w:type="dxa"/>
        <w:jc w:val="left"/>
        <w:tblInd w:w="0" w:type="dxa"/>
        <w:tblLayout w:type="fixed"/>
        <w:tblCellMar>
          <w:top w:w="28" w:type="dxa"/>
          <w:left w:w="28" w:type="dxa"/>
          <w:bottom w:w="28" w:type="dxa"/>
          <w:right w:w="28" w:type="dxa"/>
        </w:tblCellMar>
      </w:tblPr>
      <w:tblGrid>
        <w:gridCol w:w="570"/>
        <w:gridCol w:w="499"/>
        <w:gridCol w:w="505"/>
        <w:gridCol w:w="109"/>
        <w:gridCol w:w="109"/>
        <w:gridCol w:w="109"/>
        <w:gridCol w:w="110"/>
        <w:gridCol w:w="110"/>
        <w:gridCol w:w="110"/>
        <w:gridCol w:w="700"/>
        <w:gridCol w:w="700"/>
        <w:gridCol w:w="1000"/>
      </w:tblGrid>
      <w:tr>
        <w:trPr/>
        <w:tc>
          <w:tcPr>
            <w:tcW w:w="570"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50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700" w:type="dxa"/>
            <w:tcBorders/>
            <w:vAlign w:val="center"/>
          </w:tcPr>
          <w:p>
            <w:pPr>
              <w:pStyle w:val="TableContents"/>
              <w:bidi w:val="0"/>
              <w:spacing w:before="0" w:after="283"/>
              <w:jc w:val="left"/>
              <w:rPr>
                <w:sz w:val="4"/>
                <w:szCs w:val="4"/>
              </w:rPr>
            </w:pPr>
            <w:r>
              <w:rPr>
                <w:sz w:val="4"/>
                <w:szCs w:val="4"/>
              </w:rPr>
            </w:r>
          </w:p>
        </w:tc>
        <w:tc>
          <w:tcPr>
            <w:tcW w:w="700" w:type="dxa"/>
            <w:tcBorders/>
            <w:vAlign w:val="center"/>
          </w:tcPr>
          <w:p>
            <w:pPr>
              <w:pStyle w:val="TableContents"/>
              <w:bidi w:val="0"/>
              <w:spacing w:before="0" w:after="283"/>
              <w:jc w:val="left"/>
              <w:rPr>
                <w:sz w:val="4"/>
                <w:szCs w:val="4"/>
              </w:rPr>
            </w:pPr>
            <w:r>
              <w:rPr>
                <w:sz w:val="4"/>
                <w:szCs w:val="4"/>
              </w:rPr>
            </w:r>
          </w:p>
        </w:tc>
        <w:tc>
          <w:tcPr>
            <w:tcW w:w="1000" w:type="dxa"/>
            <w:tcBorders/>
            <w:vAlign w:val="center"/>
          </w:tcPr>
          <w:p>
            <w:pPr>
              <w:pStyle w:val="TableContents"/>
              <w:bidi w:val="0"/>
              <w:spacing w:before="0" w:after="283"/>
              <w:jc w:val="left"/>
              <w:rPr>
                <w:sz w:val="4"/>
                <w:szCs w:val="4"/>
              </w:rPr>
            </w:pPr>
            <w:r>
              <w:rPr>
                <w:sz w:val="4"/>
                <w:szCs w:val="4"/>
              </w:rPr>
            </w:r>
          </w:p>
        </w:tc>
      </w:tr>
      <w:tr>
        <w:trPr/>
        <w:tc>
          <w:tcPr>
            <w:tcW w:w="157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4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20"/>
              </w:rPr>
            </w:pPr>
            <w:r>
              <w:rPr>
                <w:rFonts w:ascii="Arial Narrow;sans-serif" w:hAnsi="Arial Narrow;sans-serif"/>
                <w:b/>
                <w:color w:val="000000"/>
                <w:sz w:val="20"/>
              </w:rPr>
              <w:t>Portillo's Inc.</w:t>
            </w:r>
          </w:p>
        </w:tc>
      </w:tr>
      <w:tr>
        <w:trPr/>
        <w:tc>
          <w:tcPr>
            <w:tcW w:w="15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(Registrant)</w:t>
            </w:r>
          </w:p>
        </w:tc>
      </w:tr>
      <w:tr>
        <w:trPr/>
        <w:tc>
          <w:tcPr>
            <w:tcW w:w="15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Date: June 12,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By:</w:t>
            </w:r>
          </w:p>
        </w:tc>
        <w:tc>
          <w:tcPr>
            <w:tcW w:w="24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/s/ Kelly M. Kaiser</w:t>
            </w:r>
          </w:p>
        </w:tc>
      </w:tr>
      <w:tr>
        <w:trPr/>
        <w:tc>
          <w:tcPr>
            <w:tcW w:w="1574" w:type="dxa"/>
            <w:gridSpan w:val="3"/>
            <w:tcBorders>
              <w:top w:val="single" w:sz="8" w:space="0" w:color="FFFFFF"/>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op w:val="single" w:sz="8" w:space="0" w:color="FFFFF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op w:val="single" w:sz="8" w:space="0" w:color="FFFFFF"/>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4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Kelly M. Kaiser</w:t>
            </w:r>
          </w:p>
        </w:tc>
      </w:tr>
      <w:tr>
        <w:trPr/>
        <w:tc>
          <w:tcPr>
            <w:tcW w:w="157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4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General Counsel and Secretary</w:t>
            </w:r>
          </w:p>
        </w:tc>
      </w:tr>
    </w:tbl>
    <w:p>
      <w:pPr>
        <w:pStyle w:val="TextBody"/>
        <w:bidi w:val="0"/>
        <w:spacing w:before="0" w:after="283"/>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4"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Narrow">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601</Words>
  <Characters>3401</Characters>
  <CharactersWithSpaces>3914</CharactersWithSpaces>
  <Paragraphs>107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