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177800</wp:posOffset>
            </wp:positionV>
            <wp:extent cx="1543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8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u w:val="single" w:color="auto"/>
          <w:color w:val="auto"/>
        </w:rPr>
        <w:t>FORM 10-Q</w:t>
      </w:r>
    </w:p>
    <w:p>
      <w:pPr>
        <w:spacing w:after="0" w:line="200" w:lineRule="exact"/>
        <w:rPr>
          <w:sz w:val="24"/>
          <w:szCs w:val="24"/>
          <w:color w:val="auto"/>
        </w:rPr>
      </w:pPr>
    </w:p>
    <w:p>
      <w:pPr>
        <w:spacing w:after="0" w:line="216" w:lineRule="exact"/>
        <w:rPr>
          <w:sz w:val="24"/>
          <w:szCs w:val="24"/>
          <w:color w:val="auto"/>
        </w:rPr>
      </w:pPr>
    </w:p>
    <w:p>
      <w:pPr>
        <w:ind w:left="820" w:hanging="480"/>
        <w:spacing w:after="0"/>
        <w:tabs>
          <w:tab w:leader="none" w:pos="820" w:val="left"/>
        </w:tabs>
        <w:numPr>
          <w:ilvl w:val="1"/>
          <w:numId w:val="1"/>
        </w:numPr>
        <w:rPr>
          <w:rFonts w:ascii="MS PGothic" w:cs="MS PGothic" w:eastAsia="MS PGothic" w:hAnsi="MS PGothic"/>
          <w:sz w:val="22"/>
          <w:szCs w:val="22"/>
          <w:color w:val="auto"/>
        </w:rPr>
      </w:pPr>
      <w:r>
        <w:rPr>
          <w:rFonts w:ascii="Arial" w:cs="Arial" w:eastAsia="Arial" w:hAnsi="Arial"/>
          <w:sz w:val="20"/>
          <w:szCs w:val="20"/>
          <w:color w:val="auto"/>
        </w:rPr>
        <w:t>QUARTERLY REPORT PURSUANT TO SECTION 13 OR 15(d) OF THE SECURITIES EXCHANGE ACT OF 1934</w:t>
      </w:r>
    </w:p>
    <w:p>
      <w:pPr>
        <w:spacing w:after="0" w:line="239" w:lineRule="exact"/>
        <w:rPr>
          <w:rFonts w:ascii="MS PGothic" w:cs="MS PGothic" w:eastAsia="MS PGothic" w:hAnsi="MS PGothic"/>
          <w:sz w:val="22"/>
          <w:szCs w:val="22"/>
          <w:color w:val="auto"/>
        </w:rPr>
      </w:pPr>
    </w:p>
    <w:p>
      <w:pPr>
        <w:ind w:left="3040"/>
        <w:spacing w:after="0"/>
        <w:rPr>
          <w:rFonts w:ascii="MS PGothic" w:cs="MS PGothic" w:eastAsia="MS PGothic" w:hAnsi="MS PGothic"/>
          <w:sz w:val="22"/>
          <w:szCs w:val="22"/>
          <w:color w:val="auto"/>
        </w:rPr>
      </w:pPr>
      <w:r>
        <w:rPr>
          <w:rFonts w:ascii="Arial" w:cs="Arial" w:eastAsia="Arial" w:hAnsi="Arial"/>
          <w:sz w:val="20"/>
          <w:szCs w:val="20"/>
          <w:b w:val="1"/>
          <w:bCs w:val="1"/>
          <w:color w:val="auto"/>
        </w:rPr>
        <w:t>FOR THE QUARTERLY PERIOD ENDED March 29, 2026</w:t>
      </w:r>
    </w:p>
    <w:p>
      <w:pPr>
        <w:spacing w:after="0" w:line="258" w:lineRule="exact"/>
        <w:rPr>
          <w:rFonts w:ascii="MS PGothic" w:cs="MS PGothic" w:eastAsia="MS PGothic" w:hAnsi="MS PGothic"/>
          <w:sz w:val="22"/>
          <w:szCs w:val="22"/>
          <w:color w:val="auto"/>
        </w:rPr>
      </w:pPr>
    </w:p>
    <w:p>
      <w:pPr>
        <w:ind w:left="560" w:hanging="432"/>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9"/>
          <w:szCs w:val="19"/>
          <w:color w:val="auto"/>
        </w:rPr>
        <w:t>TRANSITION REPORT PURSUANT TO SECTION 13 OR 15(d) OF THE SECURITIES EXCHANGE ACT OF 1934 FOR</w:t>
      </w:r>
    </w:p>
    <w:p>
      <w:pPr>
        <w:spacing w:after="0" w:line="29" w:lineRule="exact"/>
        <w:rPr>
          <w:sz w:val="24"/>
          <w:szCs w:val="24"/>
          <w:color w:val="auto"/>
        </w:rPr>
      </w:pPr>
    </w:p>
    <w:p>
      <w:pPr>
        <w:ind w:left="3700"/>
        <w:spacing w:after="0"/>
        <w:tabs>
          <w:tab w:leader="none" w:pos="7260" w:val="left"/>
        </w:tabs>
        <w:rPr>
          <w:sz w:val="20"/>
          <w:szCs w:val="20"/>
          <w:color w:val="auto"/>
        </w:rPr>
      </w:pPr>
      <w:r>
        <w:rPr>
          <w:rFonts w:ascii="Arial" w:cs="Arial" w:eastAsia="Arial" w:hAnsi="Arial"/>
          <w:sz w:val="20"/>
          <w:szCs w:val="20"/>
          <w:color w:val="auto"/>
        </w:rPr>
        <w:t>THE TRANSITION PERIOD FROM</w:t>
      </w:r>
      <w:r>
        <w:rPr>
          <w:sz w:val="20"/>
          <w:szCs w:val="20"/>
          <w:color w:val="auto"/>
        </w:rPr>
        <w:tab/>
      </w:r>
      <w:r>
        <w:rPr>
          <w:rFonts w:ascii="Arial" w:cs="Arial" w:eastAsia="Arial" w:hAnsi="Arial"/>
          <w:sz w:val="20"/>
          <w:szCs w:val="20"/>
          <w:color w:val="auto"/>
        </w:rPr>
        <w:t>TO</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001-40951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17780</wp:posOffset>
            </wp:positionV>
            <wp:extent cx="228028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PORTILLO'S INC.</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20"/>
          </w:cols>
          <w:pgMar w:left="320" w:top="1120" w:right="459" w:bottom="1440" w:gutter="0" w:footer="0" w:header="0"/>
        </w:sectPr>
      </w:pPr>
    </w:p>
    <w:p>
      <w:pPr>
        <w:spacing w:after="0" w:line="42" w:lineRule="exact"/>
        <w:rPr>
          <w:sz w:val="24"/>
          <w:szCs w:val="24"/>
          <w:color w:val="auto"/>
        </w:rPr>
      </w:pPr>
    </w:p>
    <w:p>
      <w:pPr>
        <w:ind w:left="25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85" w:lineRule="exact"/>
        <w:rPr>
          <w:sz w:val="24"/>
          <w:szCs w:val="24"/>
          <w:color w:val="auto"/>
        </w:rPr>
      </w:pPr>
    </w:p>
    <w:p>
      <w:pPr>
        <w:sectPr>
          <w:pgSz w:w="11900" w:h="16838" w:orient="portrait"/>
          <w:cols w:equalWidth="0" w:num="2">
            <w:col w:w="7280" w:space="720"/>
            <w:col w:w="3120"/>
          </w:cols>
          <w:pgMar w:left="320" w:top="1120" w:right="459" w:bottom="1440" w:gutter="0" w:footer="0" w:header="0"/>
          <w:type w:val="continuous"/>
        </w:sectPr>
      </w:pPr>
    </w:p>
    <w:p>
      <w:pPr>
        <w:ind w:left="10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56" w:lineRule="exact"/>
        <w:rPr>
          <w:sz w:val="24"/>
          <w:szCs w:val="24"/>
          <w:color w:val="auto"/>
        </w:rPr>
      </w:pPr>
    </w:p>
    <w:p>
      <w:pPr>
        <w:sectPr>
          <w:pgSz w:w="11900" w:h="16838" w:orient="portrait"/>
          <w:cols w:equalWidth="0" w:num="2">
            <w:col w:w="6620" w:space="720"/>
            <w:col w:w="3780"/>
          </w:cols>
          <w:pgMar w:left="320" w:top="1120" w:right="459" w:bottom="1440" w:gutter="0" w:footer="0" w:header="0"/>
          <w:type w:val="continuous"/>
        </w:sectPr>
      </w:pPr>
    </w:p>
    <w:p>
      <w:pPr>
        <w:jc w:val="center"/>
        <w:ind w:right="-139"/>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74"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w:t>
      </w:r>
    </w:p>
    <w:p>
      <w:pPr>
        <w:spacing w:after="0" w:line="12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(630) 954-3773</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73"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120"/>
          </w:cols>
          <w:pgMar w:left="320" w:top="1120" w:right="459" w:bottom="1440" w:gutter="0" w:footer="0" w:header="0"/>
          <w:type w:val="continuous"/>
        </w:sectPr>
      </w:pPr>
    </w:p>
    <w:p>
      <w:pPr>
        <w:spacing w:after="0" w:line="59"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580" w:space="720"/>
            <w:col w:w="1200" w:space="720"/>
            <w:col w:w="3900"/>
          </w:cols>
          <w:pgMar w:left="320" w:top="1120" w:right="45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00" w:lineRule="exact"/>
        <w:rPr>
          <w:sz w:val="24"/>
          <w:szCs w:val="24"/>
          <w:color w:val="auto"/>
        </w:rPr>
      </w:pPr>
    </w:p>
    <w:p>
      <w:pPr>
        <w:sectPr>
          <w:pgSz w:w="11900" w:h="16838" w:orient="portrait"/>
          <w:cols w:equalWidth="0" w:num="3">
            <w:col w:w="4960" w:space="720"/>
            <w:col w:w="1480" w:space="720"/>
            <w:col w:w="3240"/>
          </w:cols>
          <w:pgMar w:left="320" w:top="1120" w:right="459" w:bottom="1440" w:gutter="0" w:footer="0" w:header="0"/>
          <w:type w:val="continuous"/>
        </w:sectPr>
      </w:pPr>
    </w:p>
    <w:p>
      <w:pPr>
        <w:spacing w:after="0" w:line="170" w:lineRule="exact"/>
        <w:rPr>
          <w:sz w:val="24"/>
          <w:szCs w:val="24"/>
          <w:color w:val="auto"/>
        </w:rPr>
      </w:pPr>
    </w:p>
    <w:p>
      <w:pPr>
        <w:jc w:val="both"/>
        <w:ind w:right="3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2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40" w:type="dxa"/>
        <w:tblCellMar>
          <w:top w:w="0" w:type="dxa"/>
          <w:left w:w="0" w:type="dxa"/>
          <w:bottom w:w="0" w:type="dxa"/>
          <w:right w:w="0" w:type="dxa"/>
        </w:tblCellMar>
      </w:tblP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Large 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39"/>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0" w:lineRule="exact"/>
        <w:rPr>
          <w:sz w:val="24"/>
          <w:szCs w:val="24"/>
          <w:color w:val="auto"/>
        </w:rPr>
      </w:pPr>
    </w:p>
    <w:p>
      <w:pPr>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7" w:lineRule="exact"/>
        <w:rPr>
          <w:sz w:val="24"/>
          <w:szCs w:val="24"/>
          <w:color w:val="auto"/>
        </w:rPr>
      </w:pPr>
    </w:p>
    <w:p>
      <w:pPr>
        <w:ind w:left="5280" w:hanging="376"/>
        <w:spacing w:after="0" w:line="184" w:lineRule="exact"/>
        <w:tabs>
          <w:tab w:leader="none" w:pos="52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 w:lineRule="exact"/>
        <w:rPr>
          <w:sz w:val="24"/>
          <w:szCs w:val="24"/>
          <w:color w:val="auto"/>
        </w:rPr>
      </w:pPr>
    </w:p>
    <w:p>
      <w:pPr>
        <w:ind w:right="440"/>
        <w:spacing w:after="0" w:line="265" w:lineRule="auto"/>
        <w:rPr>
          <w:sz w:val="20"/>
          <w:szCs w:val="20"/>
          <w:color w:val="auto"/>
        </w:rPr>
      </w:pPr>
      <w:r>
        <w:rPr>
          <w:rFonts w:ascii="Arial" w:cs="Arial" w:eastAsia="Arial" w:hAnsi="Arial"/>
          <w:sz w:val="16"/>
          <w:szCs w:val="16"/>
          <w:color w:val="auto"/>
        </w:rPr>
        <w:t>As of April 28, 2026, there were 72,380,958 shares of the registrant's Class A common stock, par value $0.01 per share, and 3,424,546 shares of the registrant's Class B common stock, par value $0.00001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0" w:right="4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41404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21590</wp:posOffset>
            </wp:positionV>
            <wp:extent cx="596646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Cautionary Note Regarding Forward-Looking Information</w:t>
            </w:r>
          </w:p>
        </w:tc>
        <w:tc>
          <w:tcPr>
            <w:tcW w:w="3520" w:type="dxa"/>
            <w:vAlign w:val="bottom"/>
            <w:gridSpan w:val="3"/>
          </w:tcPr>
          <w:p>
            <w:pPr>
              <w:jc w:val="right"/>
              <w:ind w:right="640"/>
              <w:spacing w:after="0"/>
              <w:rPr>
                <w:sz w:val="20"/>
                <w:szCs w:val="20"/>
                <w:color w:val="auto"/>
              </w:rPr>
            </w:pPr>
            <w:r>
              <w:rPr>
                <w:rFonts w:ascii="Arial" w:cs="Arial" w:eastAsia="Arial" w:hAnsi="Arial"/>
                <w:sz w:val="18"/>
                <w:szCs w:val="18"/>
                <w:color w:val="auto"/>
              </w:rPr>
              <w:t>1</w:t>
            </w:r>
          </w:p>
        </w:tc>
      </w:tr>
      <w:tr>
        <w:trPr>
          <w:trHeight w:val="48"/>
        </w:trPr>
        <w:tc>
          <w:tcPr>
            <w:tcW w:w="20" w:type="dxa"/>
            <w:vAlign w:val="bottom"/>
          </w:tcPr>
          <w:p>
            <w:pPr>
              <w:spacing w:after="0"/>
              <w:rPr>
                <w:sz w:val="4"/>
                <w:szCs w:val="4"/>
                <w:color w:val="auto"/>
              </w:rPr>
            </w:pPr>
          </w:p>
        </w:tc>
        <w:tc>
          <w:tcPr>
            <w:tcW w:w="4900" w:type="dxa"/>
            <w:vAlign w:val="bottom"/>
            <w:tcBorders>
              <w:top w:val="single" w:sz="8" w:color="auto"/>
            </w:tcBorders>
          </w:tcPr>
          <w:p>
            <w:pPr>
              <w:spacing w:after="0"/>
              <w:rPr>
                <w:sz w:val="4"/>
                <w:szCs w:val="4"/>
                <w:color w:val="auto"/>
              </w:rPr>
            </w:pPr>
          </w:p>
        </w:tc>
        <w:tc>
          <w:tcPr>
            <w:tcW w:w="28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70"/>
        </w:trPr>
        <w:tc>
          <w:tcPr>
            <w:tcW w:w="20" w:type="dxa"/>
            <w:vAlign w:val="bottom"/>
            <w:shd w:val="clear" w:color="auto" w:fill="DBDBDB"/>
          </w:tcPr>
          <w:p>
            <w:pPr>
              <w:spacing w:after="0"/>
              <w:rPr>
                <w:sz w:val="23"/>
                <w:szCs w:val="23"/>
                <w:color w:val="auto"/>
              </w:rPr>
            </w:pPr>
          </w:p>
        </w:tc>
        <w:tc>
          <w:tcPr>
            <w:tcW w:w="4900" w:type="dxa"/>
            <w:vAlign w:val="bottom"/>
            <w:shd w:val="clear" w:color="auto" w:fill="DBDBDB"/>
          </w:tcPr>
          <w:p>
            <w:pPr>
              <w:spacing w:after="0"/>
              <w:rPr>
                <w:sz w:val="23"/>
                <w:szCs w:val="23"/>
                <w:color w:val="auto"/>
              </w:rPr>
            </w:pPr>
          </w:p>
        </w:tc>
        <w:tc>
          <w:tcPr>
            <w:tcW w:w="2800" w:type="dxa"/>
            <w:vAlign w:val="bottom"/>
            <w:shd w:val="clear" w:color="auto" w:fill="DBDBDB"/>
          </w:tcPr>
          <w:p>
            <w:pPr>
              <w:spacing w:after="0"/>
              <w:rPr>
                <w:sz w:val="23"/>
                <w:szCs w:val="23"/>
                <w:color w:val="auto"/>
              </w:rPr>
            </w:pPr>
          </w:p>
        </w:tc>
        <w:tc>
          <w:tcPr>
            <w:tcW w:w="27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gridSpan w:val="2"/>
          </w:tcPr>
          <w:p>
            <w:pPr>
              <w:spacing w:after="0" w:line="216" w:lineRule="exact"/>
              <w:rPr>
                <w:sz w:val="20"/>
                <w:szCs w:val="20"/>
                <w:color w:val="auto"/>
              </w:rPr>
            </w:pPr>
            <w:r>
              <w:rPr>
                <w:rFonts w:ascii="Arial" w:cs="Arial" w:eastAsia="Arial" w:hAnsi="Arial"/>
                <w:sz w:val="20"/>
                <w:szCs w:val="20"/>
                <w:b w:val="1"/>
                <w:bCs w:val="1"/>
                <w:color w:val="auto"/>
              </w:rPr>
              <w:t>Part I</w:t>
            </w:r>
          </w:p>
        </w:tc>
        <w:tc>
          <w:tcPr>
            <w:tcW w:w="8760" w:type="dxa"/>
            <w:vAlign w:val="bottom"/>
            <w:gridSpan w:val="15"/>
          </w:tcPr>
          <w:p>
            <w:pPr>
              <w:spacing w:after="0" w:line="216" w:lineRule="exact"/>
              <w:rPr>
                <w:sz w:val="20"/>
                <w:szCs w:val="20"/>
                <w:color w:val="auto"/>
              </w:rPr>
            </w:pPr>
            <w:r>
              <w:rPr>
                <w:rFonts w:ascii="Arial" w:cs="Arial" w:eastAsia="Arial" w:hAnsi="Arial"/>
                <w:sz w:val="20"/>
                <w:szCs w:val="20"/>
                <w:b w:val="1"/>
                <w:bCs w:val="1"/>
                <w:color w:val="auto"/>
              </w:rPr>
              <w:t>Financial Information</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02"/>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76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Item 1.</w:t>
            </w:r>
          </w:p>
        </w:tc>
        <w:tc>
          <w:tcPr>
            <w:tcW w:w="8000" w:type="dxa"/>
            <w:vAlign w:val="bottom"/>
            <w:gridSpan w:val="13"/>
            <w:shd w:val="clear" w:color="auto" w:fill="DBDBDB"/>
          </w:tcPr>
          <w:p>
            <w:pPr>
              <w:ind w:left="220"/>
              <w:spacing w:after="0" w:line="202" w:lineRule="exact"/>
              <w:rPr>
                <w:sz w:val="20"/>
                <w:szCs w:val="20"/>
                <w:color w:val="auto"/>
              </w:rPr>
            </w:pPr>
            <w:r>
              <w:rPr>
                <w:rFonts w:ascii="Arial" w:cs="Arial" w:eastAsia="Arial" w:hAnsi="Arial"/>
                <w:sz w:val="18"/>
                <w:szCs w:val="18"/>
                <w:color w:val="auto"/>
              </w:rPr>
              <w:t>Financial Statements (Unaudited)</w:t>
            </w:r>
          </w:p>
        </w:tc>
        <w:tc>
          <w:tcPr>
            <w:tcW w:w="900" w:type="dxa"/>
            <w:vAlign w:val="bottom"/>
            <w:gridSpan w:val="4"/>
            <w:shd w:val="clear" w:color="auto" w:fill="DBDBDB"/>
          </w:tcPr>
          <w:p>
            <w:pPr>
              <w:jc w:val="center"/>
              <w:ind w:left="590"/>
              <w:spacing w:after="0" w:line="202" w:lineRule="exact"/>
              <w:rPr>
                <w:sz w:val="20"/>
                <w:szCs w:val="20"/>
                <w:color w:val="auto"/>
              </w:rPr>
            </w:pPr>
            <w:r>
              <w:rPr>
                <w:rFonts w:ascii="Arial" w:cs="Arial" w:eastAsia="Arial" w:hAnsi="Arial"/>
                <w:sz w:val="18"/>
                <w:szCs w:val="18"/>
                <w:color w:val="auto"/>
                <w:w w:val="99"/>
              </w:rPr>
              <w:t>3</w:t>
            </w:r>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12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2"/>
          </w:tcPr>
          <w:p>
            <w:pPr>
              <w:ind w:left="120"/>
              <w:spacing w:after="0" w:line="202" w:lineRule="exact"/>
              <w:rPr>
                <w:sz w:val="20"/>
                <w:szCs w:val="20"/>
                <w:color w:val="auto"/>
              </w:rPr>
            </w:pPr>
            <w:r>
              <w:rPr>
                <w:rFonts w:ascii="Arial" w:cs="Arial" w:eastAsia="Arial" w:hAnsi="Arial"/>
                <w:sz w:val="18"/>
                <w:szCs w:val="18"/>
                <w:color w:val="auto"/>
              </w:rPr>
              <w:t>Condensed Consolidated Balance Sheets</w:t>
            </w:r>
          </w:p>
        </w:tc>
        <w:tc>
          <w:tcPr>
            <w:tcW w:w="900" w:type="dxa"/>
            <w:vAlign w:val="bottom"/>
            <w:gridSpan w:val="4"/>
          </w:tcPr>
          <w:p>
            <w:pPr>
              <w:jc w:val="center"/>
              <w:ind w:left="590"/>
              <w:spacing w:after="0" w:line="202" w:lineRule="exact"/>
              <w:rPr>
                <w:sz w:val="20"/>
                <w:szCs w:val="20"/>
                <w:color w:val="auto"/>
              </w:rPr>
            </w:pPr>
            <w:r>
              <w:rPr>
                <w:rFonts w:ascii="Arial" w:cs="Arial" w:eastAsia="Arial" w:hAnsi="Arial"/>
                <w:sz w:val="18"/>
                <w:szCs w:val="18"/>
                <w:color w:val="auto"/>
                <w:w w:val="99"/>
              </w:rPr>
              <w:t>3</w:t>
            </w: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780" w:type="dxa"/>
            <w:vAlign w:val="bottom"/>
            <w:gridSpan w:val="12"/>
            <w:shd w:val="clear" w:color="auto" w:fill="DBDBDB"/>
          </w:tcPr>
          <w:p>
            <w:pPr>
              <w:ind w:left="120"/>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900" w:type="dxa"/>
            <w:vAlign w:val="bottom"/>
            <w:gridSpan w:val="4"/>
            <w:shd w:val="clear" w:color="auto" w:fill="DBDBDB"/>
          </w:tcPr>
          <w:p>
            <w:pPr>
              <w:jc w:val="center"/>
              <w:ind w:left="590"/>
              <w:spacing w:after="0" w:line="202" w:lineRule="exact"/>
              <w:rPr>
                <w:sz w:val="20"/>
                <w:szCs w:val="20"/>
                <w:color w:val="auto"/>
              </w:rPr>
            </w:pPr>
            <w:r>
              <w:rPr>
                <w:rFonts w:ascii="Arial" w:cs="Arial" w:eastAsia="Arial" w:hAnsi="Arial"/>
                <w:sz w:val="18"/>
                <w:szCs w:val="18"/>
                <w:color w:val="auto"/>
                <w:w w:val="99"/>
              </w:rPr>
              <w:t>4</w:t>
            </w:r>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12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2"/>
          </w:tcPr>
          <w:p>
            <w:pPr>
              <w:ind w:left="120"/>
              <w:spacing w:after="0" w:line="202" w:lineRule="exact"/>
              <w:rPr>
                <w:sz w:val="20"/>
                <w:szCs w:val="20"/>
                <w:color w:val="auto"/>
              </w:rPr>
            </w:pPr>
            <w:r>
              <w:rPr>
                <w:rFonts w:ascii="Arial" w:cs="Arial" w:eastAsia="Arial" w:hAnsi="Arial"/>
                <w:sz w:val="18"/>
                <w:szCs w:val="18"/>
                <w:color w:val="auto"/>
              </w:rPr>
              <w:t>Condensed Consolidated Statements of Stockholders' Equity</w:t>
            </w:r>
          </w:p>
        </w:tc>
        <w:tc>
          <w:tcPr>
            <w:tcW w:w="900" w:type="dxa"/>
            <w:vAlign w:val="bottom"/>
            <w:gridSpan w:val="4"/>
          </w:tcPr>
          <w:p>
            <w:pPr>
              <w:jc w:val="center"/>
              <w:ind w:left="590"/>
              <w:spacing w:after="0" w:line="202" w:lineRule="exact"/>
              <w:rPr>
                <w:sz w:val="20"/>
                <w:szCs w:val="20"/>
                <w:color w:val="auto"/>
              </w:rPr>
            </w:pPr>
            <w:r>
              <w:rPr>
                <w:rFonts w:ascii="Arial" w:cs="Arial" w:eastAsia="Arial" w:hAnsi="Arial"/>
                <w:sz w:val="18"/>
                <w:szCs w:val="18"/>
                <w:color w:val="auto"/>
                <w:w w:val="99"/>
              </w:rPr>
              <w:t>5</w:t>
            </w: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780" w:type="dxa"/>
            <w:vAlign w:val="bottom"/>
            <w:gridSpan w:val="12"/>
            <w:shd w:val="clear" w:color="auto" w:fill="DBDBDB"/>
          </w:tcPr>
          <w:p>
            <w:pPr>
              <w:ind w:left="120"/>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900" w:type="dxa"/>
            <w:vAlign w:val="bottom"/>
            <w:gridSpan w:val="4"/>
            <w:shd w:val="clear" w:color="auto" w:fill="DBDBDB"/>
          </w:tcPr>
          <w:p>
            <w:pPr>
              <w:jc w:val="center"/>
              <w:ind w:left="590"/>
              <w:spacing w:after="0" w:line="202" w:lineRule="exact"/>
              <w:rPr>
                <w:sz w:val="20"/>
                <w:szCs w:val="20"/>
                <w:color w:val="auto"/>
              </w:rPr>
            </w:pPr>
            <w:r>
              <w:rPr>
                <w:rFonts w:ascii="Arial" w:cs="Arial" w:eastAsia="Arial" w:hAnsi="Arial"/>
                <w:sz w:val="18"/>
                <w:szCs w:val="18"/>
                <w:color w:val="auto"/>
                <w:w w:val="99"/>
              </w:rPr>
              <w:t>6</w:t>
            </w:r>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12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2"/>
          </w:tcPr>
          <w:p>
            <w:pPr>
              <w:ind w:left="12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900" w:type="dxa"/>
            <w:vAlign w:val="bottom"/>
            <w:gridSpan w:val="4"/>
          </w:tcPr>
          <w:p>
            <w:pPr>
              <w:jc w:val="center"/>
              <w:ind w:left="590"/>
              <w:spacing w:after="0" w:line="202" w:lineRule="exact"/>
              <w:rPr>
                <w:sz w:val="20"/>
                <w:szCs w:val="20"/>
                <w:color w:val="auto"/>
              </w:rPr>
            </w:pPr>
            <w:r>
              <w:rPr>
                <w:rFonts w:ascii="Arial" w:cs="Arial" w:eastAsia="Arial" w:hAnsi="Arial"/>
                <w:sz w:val="18"/>
                <w:szCs w:val="18"/>
                <w:color w:val="auto"/>
                <w:w w:val="99"/>
              </w:rPr>
              <w:t>8</w:t>
            </w: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76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Item 2.</w:t>
            </w:r>
          </w:p>
        </w:tc>
        <w:tc>
          <w:tcPr>
            <w:tcW w:w="8000" w:type="dxa"/>
            <w:vAlign w:val="bottom"/>
            <w:gridSpan w:val="13"/>
            <w:shd w:val="clear" w:color="auto" w:fill="DBDBDB"/>
          </w:tcPr>
          <w:p>
            <w:pPr>
              <w:ind w:left="22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80" w:type="dxa"/>
            <w:vAlign w:val="bottom"/>
            <w:gridSpan w:val="5"/>
            <w:shd w:val="clear" w:color="auto" w:fill="DBDBDB"/>
          </w:tcPr>
          <w:p>
            <w:pPr>
              <w:jc w:val="center"/>
              <w:ind w:left="30"/>
              <w:spacing w:after="0" w:line="202" w:lineRule="exact"/>
              <w:rPr>
                <w:sz w:val="20"/>
                <w:szCs w:val="20"/>
                <w:color w:val="auto"/>
              </w:rPr>
            </w:pPr>
            <w:r>
              <w:rPr>
                <w:rFonts w:ascii="Arial" w:cs="Arial" w:eastAsia="Arial" w:hAnsi="Arial"/>
                <w:sz w:val="18"/>
                <w:szCs w:val="18"/>
                <w:color w:val="auto"/>
                <w:w w:val="99"/>
              </w:rPr>
              <w:t>20</w:t>
            </w: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2120" w:type="dxa"/>
            <w:vAlign w:val="bottom"/>
            <w:tcBorders>
              <w:top w:val="single" w:sz="8" w:color="auto"/>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spacing w:after="0" w:line="202" w:lineRule="exact"/>
              <w:rPr>
                <w:sz w:val="20"/>
                <w:szCs w:val="20"/>
                <w:color w:val="auto"/>
              </w:rPr>
            </w:pPr>
            <w:r>
              <w:rPr>
                <w:rFonts w:ascii="Arial" w:cs="Arial" w:eastAsia="Arial" w:hAnsi="Arial"/>
                <w:sz w:val="18"/>
                <w:szCs w:val="18"/>
                <w:color w:val="auto"/>
              </w:rPr>
              <w:t>Item 3.</w:t>
            </w:r>
          </w:p>
        </w:tc>
        <w:tc>
          <w:tcPr>
            <w:tcW w:w="8000" w:type="dxa"/>
            <w:vAlign w:val="bottom"/>
            <w:gridSpan w:val="13"/>
          </w:tcPr>
          <w:p>
            <w:pPr>
              <w:ind w:left="22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480" w:type="dxa"/>
            <w:vAlign w:val="bottom"/>
            <w:gridSpan w:val="5"/>
          </w:tcPr>
          <w:p>
            <w:pPr>
              <w:jc w:val="center"/>
              <w:ind w:left="30"/>
              <w:spacing w:after="0" w:line="202" w:lineRule="exact"/>
              <w:rPr>
                <w:sz w:val="20"/>
                <w:szCs w:val="20"/>
                <w:color w:val="auto"/>
              </w:rPr>
            </w:pPr>
            <w:r>
              <w:rPr>
                <w:rFonts w:ascii="Arial" w:cs="Arial" w:eastAsia="Arial" w:hAnsi="Arial"/>
                <w:sz w:val="18"/>
                <w:szCs w:val="18"/>
                <w:color w:val="auto"/>
                <w:w w:val="99"/>
              </w:rPr>
              <w:t>30</w:t>
            </w: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76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Item 4.</w:t>
            </w:r>
          </w:p>
        </w:tc>
        <w:tc>
          <w:tcPr>
            <w:tcW w:w="8000" w:type="dxa"/>
            <w:vAlign w:val="bottom"/>
            <w:gridSpan w:val="13"/>
            <w:shd w:val="clear" w:color="auto" w:fill="DBDBDB"/>
          </w:tcPr>
          <w:p>
            <w:pPr>
              <w:ind w:left="220"/>
              <w:spacing w:after="0" w:line="202" w:lineRule="exact"/>
              <w:rPr>
                <w:sz w:val="20"/>
                <w:szCs w:val="20"/>
                <w:color w:val="auto"/>
              </w:rPr>
            </w:pPr>
            <w:r>
              <w:rPr>
                <w:rFonts w:ascii="Arial" w:cs="Arial" w:eastAsia="Arial" w:hAnsi="Arial"/>
                <w:sz w:val="18"/>
                <w:szCs w:val="18"/>
                <w:color w:val="auto"/>
              </w:rPr>
              <w:t>Controls and Procedures</w:t>
            </w:r>
          </w:p>
        </w:tc>
        <w:tc>
          <w:tcPr>
            <w:tcW w:w="1480" w:type="dxa"/>
            <w:vAlign w:val="bottom"/>
            <w:gridSpan w:val="5"/>
            <w:shd w:val="clear" w:color="auto" w:fill="DBDBDB"/>
          </w:tcPr>
          <w:p>
            <w:pPr>
              <w:jc w:val="center"/>
              <w:ind w:left="30"/>
              <w:spacing w:after="0" w:line="202" w:lineRule="exact"/>
              <w:rPr>
                <w:sz w:val="20"/>
                <w:szCs w:val="20"/>
                <w:color w:val="auto"/>
              </w:rPr>
            </w:pPr>
            <w:r>
              <w:rPr>
                <w:rFonts w:ascii="Arial" w:cs="Arial" w:eastAsia="Arial" w:hAnsi="Arial"/>
                <w:sz w:val="18"/>
                <w:szCs w:val="18"/>
                <w:color w:val="auto"/>
                <w:w w:val="99"/>
              </w:rPr>
              <w:t>31</w:t>
            </w: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12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DBDBDB"/>
          </w:tcPr>
          <w:p>
            <w:pPr>
              <w:spacing w:after="0"/>
              <w:rPr>
                <w:sz w:val="19"/>
                <w:szCs w:val="19"/>
                <w:color w:val="auto"/>
              </w:rPr>
            </w:pPr>
          </w:p>
        </w:tc>
        <w:tc>
          <w:tcPr>
            <w:tcW w:w="980" w:type="dxa"/>
            <w:vAlign w:val="bottom"/>
            <w:gridSpan w:val="2"/>
            <w:shd w:val="clear" w:color="auto" w:fill="DBDBDB"/>
          </w:tcPr>
          <w:p>
            <w:pPr>
              <w:spacing w:after="0"/>
              <w:rPr>
                <w:sz w:val="20"/>
                <w:szCs w:val="20"/>
                <w:color w:val="auto"/>
              </w:rPr>
            </w:pPr>
            <w:r>
              <w:rPr>
                <w:rFonts w:ascii="Arial" w:cs="Arial" w:eastAsia="Arial" w:hAnsi="Arial"/>
                <w:sz w:val="20"/>
                <w:szCs w:val="20"/>
                <w:b w:val="1"/>
                <w:bCs w:val="1"/>
                <w:color w:val="auto"/>
              </w:rPr>
              <w:t>Part II</w:t>
            </w:r>
          </w:p>
        </w:tc>
        <w:tc>
          <w:tcPr>
            <w:tcW w:w="7640" w:type="dxa"/>
            <w:vAlign w:val="bottom"/>
            <w:gridSpan w:val="14"/>
            <w:shd w:val="clear" w:color="auto" w:fill="DBDBDB"/>
          </w:tcPr>
          <w:p>
            <w:pPr>
              <w:spacing w:after="0"/>
              <w:rPr>
                <w:sz w:val="20"/>
                <w:szCs w:val="20"/>
                <w:color w:val="auto"/>
              </w:rPr>
            </w:pPr>
            <w:r>
              <w:rPr>
                <w:rFonts w:ascii="Arial" w:cs="Arial" w:eastAsia="Arial" w:hAnsi="Arial"/>
                <w:sz w:val="20"/>
                <w:szCs w:val="20"/>
                <w:b w:val="1"/>
                <w:bCs w:val="1"/>
                <w:color w:val="auto"/>
              </w:rPr>
              <w:t>Other Information</w:t>
            </w:r>
          </w:p>
        </w:tc>
        <w:tc>
          <w:tcPr>
            <w:tcW w:w="18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42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auto"/>
            </w:tcBorders>
            <w:shd w:val="clear" w:color="auto" w:fill="DBDBDB"/>
          </w:tcPr>
          <w:p>
            <w:pPr>
              <w:spacing w:after="0"/>
              <w:rPr>
                <w:sz w:val="5"/>
                <w:szCs w:val="5"/>
                <w:color w:val="auto"/>
              </w:rPr>
            </w:pPr>
          </w:p>
        </w:tc>
        <w:tc>
          <w:tcPr>
            <w:tcW w:w="120" w:type="dxa"/>
            <w:vAlign w:val="bottom"/>
            <w:tcBorders>
              <w:top w:val="single" w:sz="8" w:color="auto"/>
            </w:tcBorders>
            <w:shd w:val="clear" w:color="auto" w:fill="DBDBDB"/>
          </w:tcPr>
          <w:p>
            <w:pPr>
              <w:spacing w:after="0"/>
              <w:rPr>
                <w:sz w:val="5"/>
                <w:szCs w:val="5"/>
                <w:color w:val="auto"/>
              </w:rPr>
            </w:pPr>
          </w:p>
        </w:tc>
        <w:tc>
          <w:tcPr>
            <w:tcW w:w="200" w:type="dxa"/>
            <w:vAlign w:val="bottom"/>
            <w:tcBorders>
              <w:top w:val="single" w:sz="8" w:color="auto"/>
            </w:tcBorders>
            <w:shd w:val="clear" w:color="auto" w:fill="DBDBDB"/>
          </w:tcPr>
          <w:p>
            <w:pPr>
              <w:spacing w:after="0"/>
              <w:rPr>
                <w:sz w:val="5"/>
                <w:szCs w:val="5"/>
                <w:color w:val="auto"/>
              </w:rPr>
            </w:pPr>
          </w:p>
        </w:tc>
        <w:tc>
          <w:tcPr>
            <w:tcW w:w="60" w:type="dxa"/>
            <w:vAlign w:val="bottom"/>
            <w:tcBorders>
              <w:top w:val="single" w:sz="8" w:color="auto"/>
            </w:tcBorders>
            <w:shd w:val="clear" w:color="auto" w:fill="DBDBDB"/>
          </w:tcPr>
          <w:p>
            <w:pPr>
              <w:spacing w:after="0"/>
              <w:rPr>
                <w:sz w:val="5"/>
                <w:szCs w:val="5"/>
                <w:color w:val="auto"/>
              </w:rPr>
            </w:pPr>
          </w:p>
        </w:tc>
        <w:tc>
          <w:tcPr>
            <w:tcW w:w="60" w:type="dxa"/>
            <w:vAlign w:val="bottom"/>
            <w:tcBorders>
              <w:top w:val="single" w:sz="8" w:color="auto"/>
            </w:tcBorders>
            <w:shd w:val="clear" w:color="auto" w:fill="DBDBDB"/>
          </w:tcPr>
          <w:p>
            <w:pPr>
              <w:spacing w:after="0"/>
              <w:rPr>
                <w:sz w:val="5"/>
                <w:szCs w:val="5"/>
                <w:color w:val="auto"/>
              </w:rPr>
            </w:pPr>
          </w:p>
        </w:tc>
        <w:tc>
          <w:tcPr>
            <w:tcW w:w="640" w:type="dxa"/>
            <w:vAlign w:val="bottom"/>
            <w:tcBorders>
              <w:top w:val="single" w:sz="8" w:color="auto"/>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4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2300" w:type="dxa"/>
            <w:vAlign w:val="bottom"/>
            <w:tcBorders>
              <w:top w:val="single" w:sz="8" w:color="DBDBDB"/>
            </w:tcBorders>
            <w:shd w:val="clear" w:color="auto" w:fill="DBDBDB"/>
          </w:tcPr>
          <w:p>
            <w:pPr>
              <w:spacing w:after="0"/>
              <w:rPr>
                <w:sz w:val="5"/>
                <w:szCs w:val="5"/>
                <w:color w:val="auto"/>
              </w:rPr>
            </w:pPr>
          </w:p>
        </w:tc>
        <w:tc>
          <w:tcPr>
            <w:tcW w:w="1800" w:type="dxa"/>
            <w:vAlign w:val="bottom"/>
            <w:tcBorders>
              <w:top w:val="single" w:sz="8" w:color="DBDBDB"/>
            </w:tcBorders>
            <w:shd w:val="clear" w:color="auto" w:fill="DBDBDB"/>
          </w:tcPr>
          <w:p>
            <w:pPr>
              <w:spacing w:after="0"/>
              <w:rPr>
                <w:sz w:val="5"/>
                <w:szCs w:val="5"/>
                <w:color w:val="auto"/>
              </w:rPr>
            </w:pPr>
          </w:p>
        </w:tc>
        <w:tc>
          <w:tcPr>
            <w:tcW w:w="182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580" w:type="dxa"/>
            <w:vAlign w:val="bottom"/>
            <w:tcBorders>
              <w:top w:val="single" w:sz="8" w:color="DBDBDB"/>
            </w:tcBorders>
            <w:shd w:val="clear" w:color="auto" w:fill="DBDBDB"/>
          </w:tcPr>
          <w:p>
            <w:pPr>
              <w:spacing w:after="0"/>
              <w:rPr>
                <w:sz w:val="5"/>
                <w:szCs w:val="5"/>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sz w:val="20"/>
                <w:szCs w:val="20"/>
                <w:color w:val="auto"/>
              </w:rPr>
            </w:pPr>
            <w:r>
              <w:rPr>
                <w:rFonts w:ascii="Arial" w:cs="Arial" w:eastAsia="Arial" w:hAnsi="Arial"/>
                <w:sz w:val="18"/>
                <w:szCs w:val="18"/>
                <w:color w:val="auto"/>
              </w:rPr>
              <w:t>Item 1.</w:t>
            </w:r>
          </w:p>
        </w:tc>
        <w:tc>
          <w:tcPr>
            <w:tcW w:w="6720" w:type="dxa"/>
            <w:vAlign w:val="bottom"/>
            <w:gridSpan w:val="10"/>
          </w:tcPr>
          <w:p>
            <w:pPr>
              <w:ind w:left="60"/>
              <w:spacing w:after="0" w:line="202" w:lineRule="exact"/>
              <w:rPr>
                <w:sz w:val="20"/>
                <w:szCs w:val="20"/>
                <w:color w:val="auto"/>
              </w:rPr>
            </w:pPr>
            <w:r>
              <w:rPr>
                <w:rFonts w:ascii="Arial" w:cs="Arial" w:eastAsia="Arial" w:hAnsi="Arial"/>
                <w:sz w:val="18"/>
                <w:szCs w:val="18"/>
                <w:color w:val="auto"/>
              </w:rPr>
              <w:t>Legal Proceedings</w:t>
            </w:r>
          </w:p>
        </w:tc>
        <w:tc>
          <w:tcPr>
            <w:tcW w:w="2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32</w:t>
            </w: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2" w:lineRule="exact"/>
              <w:rPr>
                <w:sz w:val="20"/>
                <w:szCs w:val="20"/>
                <w:color w:val="auto"/>
              </w:rPr>
            </w:pPr>
            <w:r>
              <w:rPr>
                <w:rFonts w:ascii="Arial" w:cs="Arial" w:eastAsia="Arial" w:hAnsi="Arial"/>
                <w:sz w:val="18"/>
                <w:szCs w:val="18"/>
                <w:color w:val="auto"/>
              </w:rPr>
              <w:t>Item 1A.</w:t>
            </w:r>
          </w:p>
        </w:tc>
        <w:tc>
          <w:tcPr>
            <w:tcW w:w="6720" w:type="dxa"/>
            <w:vAlign w:val="bottom"/>
            <w:gridSpan w:val="10"/>
            <w:shd w:val="clear" w:color="auto" w:fill="DBDBDB"/>
          </w:tcPr>
          <w:p>
            <w:pPr>
              <w:ind w:left="60"/>
              <w:spacing w:after="0" w:line="202" w:lineRule="exact"/>
              <w:rPr>
                <w:sz w:val="20"/>
                <w:szCs w:val="20"/>
                <w:color w:val="auto"/>
              </w:rPr>
            </w:pPr>
            <w:r>
              <w:rPr>
                <w:rFonts w:ascii="Arial" w:cs="Arial" w:eastAsia="Arial" w:hAnsi="Arial"/>
                <w:sz w:val="18"/>
                <w:szCs w:val="18"/>
                <w:color w:val="auto"/>
              </w:rPr>
              <w:t>Risk Factors</w:t>
            </w:r>
          </w:p>
        </w:tc>
        <w:tc>
          <w:tcPr>
            <w:tcW w:w="2600" w:type="dxa"/>
            <w:vAlign w:val="bottom"/>
            <w:gridSpan w:val="3"/>
            <w:shd w:val="clear" w:color="auto" w:fill="DBDBDB"/>
          </w:tcPr>
          <w:p>
            <w:pPr>
              <w:jc w:val="right"/>
              <w:ind w:right="580"/>
              <w:spacing w:after="0" w:line="202" w:lineRule="exact"/>
              <w:rPr>
                <w:sz w:val="20"/>
                <w:szCs w:val="20"/>
                <w:color w:val="auto"/>
              </w:rPr>
            </w:pPr>
            <w:r>
              <w:rPr>
                <w:rFonts w:ascii="Arial" w:cs="Arial" w:eastAsia="Arial" w:hAnsi="Arial"/>
                <w:sz w:val="18"/>
                <w:szCs w:val="18"/>
                <w:color w:val="auto"/>
              </w:rPr>
              <w:t>32</w:t>
            </w: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180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gridSpan w:val="2"/>
          </w:tcPr>
          <w:p>
            <w:pPr>
              <w:spacing w:after="0" w:line="202" w:lineRule="exact"/>
              <w:rPr>
                <w:sz w:val="20"/>
                <w:szCs w:val="20"/>
                <w:color w:val="auto"/>
              </w:rPr>
            </w:pPr>
            <w:r>
              <w:rPr>
                <w:rFonts w:ascii="Arial" w:cs="Arial" w:eastAsia="Arial" w:hAnsi="Arial"/>
                <w:sz w:val="18"/>
                <w:szCs w:val="18"/>
                <w:color w:val="auto"/>
              </w:rPr>
              <w:t>Item 2.</w:t>
            </w:r>
          </w:p>
        </w:tc>
        <w:tc>
          <w:tcPr>
            <w:tcW w:w="2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660" w:type="dxa"/>
            <w:vAlign w:val="bottom"/>
            <w:gridSpan w:val="9"/>
          </w:tcPr>
          <w:p>
            <w:pPr>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32</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2" w:lineRule="exact"/>
              <w:rPr>
                <w:sz w:val="20"/>
                <w:szCs w:val="20"/>
                <w:color w:val="auto"/>
              </w:rPr>
            </w:pPr>
            <w:r>
              <w:rPr>
                <w:rFonts w:ascii="Arial" w:cs="Arial" w:eastAsia="Arial" w:hAnsi="Arial"/>
                <w:sz w:val="18"/>
                <w:szCs w:val="18"/>
                <w:color w:val="auto"/>
              </w:rPr>
              <w:t>Item 3.</w:t>
            </w:r>
          </w:p>
        </w:tc>
        <w:tc>
          <w:tcPr>
            <w:tcW w:w="6720" w:type="dxa"/>
            <w:vAlign w:val="bottom"/>
            <w:gridSpan w:val="10"/>
            <w:shd w:val="clear" w:color="auto" w:fill="DBDBDB"/>
          </w:tcPr>
          <w:p>
            <w:pPr>
              <w:ind w:left="60"/>
              <w:spacing w:after="0" w:line="202" w:lineRule="exact"/>
              <w:rPr>
                <w:sz w:val="20"/>
                <w:szCs w:val="20"/>
                <w:color w:val="auto"/>
              </w:rPr>
            </w:pPr>
            <w:r>
              <w:rPr>
                <w:rFonts w:ascii="Arial" w:cs="Arial" w:eastAsia="Arial" w:hAnsi="Arial"/>
                <w:sz w:val="18"/>
                <w:szCs w:val="18"/>
                <w:color w:val="auto"/>
              </w:rPr>
              <w:t>Defaults Upon Senior Securities</w:t>
            </w:r>
          </w:p>
        </w:tc>
        <w:tc>
          <w:tcPr>
            <w:tcW w:w="2600" w:type="dxa"/>
            <w:vAlign w:val="bottom"/>
            <w:gridSpan w:val="3"/>
            <w:shd w:val="clear" w:color="auto" w:fill="DBDBDB"/>
          </w:tcPr>
          <w:p>
            <w:pPr>
              <w:jc w:val="right"/>
              <w:ind w:right="580"/>
              <w:spacing w:after="0" w:line="202" w:lineRule="exact"/>
              <w:rPr>
                <w:sz w:val="20"/>
                <w:szCs w:val="20"/>
                <w:color w:val="auto"/>
              </w:rPr>
            </w:pPr>
            <w:r>
              <w:rPr>
                <w:rFonts w:ascii="Arial" w:cs="Arial" w:eastAsia="Arial" w:hAnsi="Arial"/>
                <w:sz w:val="18"/>
                <w:szCs w:val="18"/>
                <w:color w:val="auto"/>
              </w:rPr>
              <w:t>32</w:t>
            </w: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180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sz w:val="20"/>
                <w:szCs w:val="20"/>
                <w:color w:val="auto"/>
              </w:rPr>
            </w:pPr>
            <w:r>
              <w:rPr>
                <w:rFonts w:ascii="Arial" w:cs="Arial" w:eastAsia="Arial" w:hAnsi="Arial"/>
                <w:sz w:val="18"/>
                <w:szCs w:val="18"/>
                <w:color w:val="auto"/>
              </w:rPr>
              <w:t>Item 4.</w:t>
            </w:r>
          </w:p>
        </w:tc>
        <w:tc>
          <w:tcPr>
            <w:tcW w:w="6720" w:type="dxa"/>
            <w:vAlign w:val="bottom"/>
            <w:gridSpan w:val="10"/>
          </w:tcPr>
          <w:p>
            <w:pPr>
              <w:ind w:left="60"/>
              <w:spacing w:after="0" w:line="202" w:lineRule="exact"/>
              <w:rPr>
                <w:sz w:val="20"/>
                <w:szCs w:val="20"/>
                <w:color w:val="auto"/>
              </w:rPr>
            </w:pPr>
            <w:r>
              <w:rPr>
                <w:rFonts w:ascii="Arial" w:cs="Arial" w:eastAsia="Arial" w:hAnsi="Arial"/>
                <w:sz w:val="18"/>
                <w:szCs w:val="18"/>
                <w:color w:val="auto"/>
              </w:rPr>
              <w:t>Mine Safety Disclosures</w:t>
            </w:r>
          </w:p>
        </w:tc>
        <w:tc>
          <w:tcPr>
            <w:tcW w:w="2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32</w:t>
            </w: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2" w:lineRule="exact"/>
              <w:rPr>
                <w:sz w:val="20"/>
                <w:szCs w:val="20"/>
                <w:color w:val="auto"/>
              </w:rPr>
            </w:pPr>
            <w:r>
              <w:rPr>
                <w:rFonts w:ascii="Arial" w:cs="Arial" w:eastAsia="Arial" w:hAnsi="Arial"/>
                <w:sz w:val="18"/>
                <w:szCs w:val="18"/>
                <w:color w:val="auto"/>
              </w:rPr>
              <w:t>Item 5.</w:t>
            </w:r>
          </w:p>
        </w:tc>
        <w:tc>
          <w:tcPr>
            <w:tcW w:w="6720" w:type="dxa"/>
            <w:vAlign w:val="bottom"/>
            <w:gridSpan w:val="10"/>
            <w:shd w:val="clear" w:color="auto" w:fill="DBDBDB"/>
          </w:tcPr>
          <w:p>
            <w:pPr>
              <w:ind w:left="60"/>
              <w:spacing w:after="0" w:line="202" w:lineRule="exact"/>
              <w:rPr>
                <w:sz w:val="20"/>
                <w:szCs w:val="20"/>
                <w:color w:val="auto"/>
              </w:rPr>
            </w:pPr>
            <w:r>
              <w:rPr>
                <w:rFonts w:ascii="Arial" w:cs="Arial" w:eastAsia="Arial" w:hAnsi="Arial"/>
                <w:sz w:val="18"/>
                <w:szCs w:val="18"/>
                <w:color w:val="auto"/>
              </w:rPr>
              <w:t>Other Information</w:t>
            </w:r>
          </w:p>
        </w:tc>
        <w:tc>
          <w:tcPr>
            <w:tcW w:w="2600" w:type="dxa"/>
            <w:vAlign w:val="bottom"/>
            <w:gridSpan w:val="3"/>
            <w:shd w:val="clear" w:color="auto" w:fill="DBDBDB"/>
          </w:tcPr>
          <w:p>
            <w:pPr>
              <w:jc w:val="right"/>
              <w:ind w:right="580"/>
              <w:spacing w:after="0" w:line="202" w:lineRule="exact"/>
              <w:rPr>
                <w:sz w:val="20"/>
                <w:szCs w:val="20"/>
                <w:color w:val="auto"/>
              </w:rPr>
            </w:pPr>
            <w:r>
              <w:rPr>
                <w:rFonts w:ascii="Arial" w:cs="Arial" w:eastAsia="Arial" w:hAnsi="Arial"/>
                <w:sz w:val="18"/>
                <w:szCs w:val="18"/>
                <w:color w:val="auto"/>
              </w:rPr>
              <w:t>32</w:t>
            </w: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180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sz w:val="20"/>
                <w:szCs w:val="20"/>
                <w:color w:val="auto"/>
              </w:rPr>
            </w:pPr>
            <w:r>
              <w:rPr>
                <w:rFonts w:ascii="Arial" w:cs="Arial" w:eastAsia="Arial" w:hAnsi="Arial"/>
                <w:sz w:val="18"/>
                <w:szCs w:val="18"/>
                <w:color w:val="auto"/>
              </w:rPr>
              <w:t>Item 6.</w:t>
            </w:r>
          </w:p>
        </w:tc>
        <w:tc>
          <w:tcPr>
            <w:tcW w:w="6720" w:type="dxa"/>
            <w:vAlign w:val="bottom"/>
            <w:gridSpan w:val="10"/>
          </w:tcPr>
          <w:p>
            <w:pPr>
              <w:ind w:left="60"/>
              <w:spacing w:after="0" w:line="202" w:lineRule="exact"/>
              <w:rPr>
                <w:sz w:val="20"/>
                <w:szCs w:val="20"/>
                <w:color w:val="auto"/>
              </w:rPr>
            </w:pPr>
            <w:r>
              <w:rPr>
                <w:rFonts w:ascii="Arial" w:cs="Arial" w:eastAsia="Arial" w:hAnsi="Arial"/>
                <w:sz w:val="18"/>
                <w:szCs w:val="18"/>
                <w:color w:val="auto"/>
              </w:rPr>
              <w:t>Exhibits</w:t>
            </w:r>
          </w:p>
        </w:tc>
        <w:tc>
          <w:tcPr>
            <w:tcW w:w="2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33</w:t>
            </w: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70"/>
        </w:trPr>
        <w:tc>
          <w:tcPr>
            <w:tcW w:w="2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420" w:type="dxa"/>
            <w:vAlign w:val="bottom"/>
            <w:shd w:val="clear" w:color="auto" w:fill="DBDBDB"/>
          </w:tcPr>
          <w:p>
            <w:pPr>
              <w:spacing w:after="0"/>
              <w:rPr>
                <w:sz w:val="23"/>
                <w:szCs w:val="23"/>
                <w:color w:val="auto"/>
              </w:rPr>
            </w:pPr>
          </w:p>
        </w:tc>
        <w:tc>
          <w:tcPr>
            <w:tcW w:w="54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c>
          <w:tcPr>
            <w:tcW w:w="4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4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2300" w:type="dxa"/>
            <w:vAlign w:val="bottom"/>
            <w:shd w:val="clear" w:color="auto" w:fill="DBDBDB"/>
          </w:tcPr>
          <w:p>
            <w:pPr>
              <w:spacing w:after="0"/>
              <w:rPr>
                <w:sz w:val="23"/>
                <w:szCs w:val="23"/>
                <w:color w:val="auto"/>
              </w:rPr>
            </w:pPr>
          </w:p>
        </w:tc>
        <w:tc>
          <w:tcPr>
            <w:tcW w:w="1800" w:type="dxa"/>
            <w:vAlign w:val="bottom"/>
            <w:shd w:val="clear" w:color="auto" w:fill="DBDBDB"/>
          </w:tcPr>
          <w:p>
            <w:pPr>
              <w:spacing w:after="0"/>
              <w:rPr>
                <w:sz w:val="23"/>
                <w:szCs w:val="23"/>
                <w:color w:val="auto"/>
              </w:rPr>
            </w:pPr>
          </w:p>
        </w:tc>
        <w:tc>
          <w:tcPr>
            <w:tcW w:w="182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580" w:type="dxa"/>
            <w:vAlign w:val="bottom"/>
            <w:shd w:val="clear" w:color="auto" w:fill="DBDBDB"/>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sz w:val="20"/>
                <w:szCs w:val="20"/>
                <w:color w:val="auto"/>
              </w:rPr>
            </w:pPr>
            <w:r>
              <w:rPr>
                <w:rFonts w:ascii="Arial" w:cs="Arial" w:eastAsia="Arial" w:hAnsi="Arial"/>
                <w:sz w:val="18"/>
                <w:szCs w:val="18"/>
                <w:color w:val="auto"/>
              </w:rPr>
              <w:t>Signatures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34</w:t>
            </w:r>
          </w:p>
        </w:tc>
      </w:tr>
      <w:tr>
        <w:trPr>
          <w:trHeight w:val="187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14042"/>
        </w:rPr>
        <w:t>Cautionary Note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21590</wp:posOffset>
            </wp:positionV>
            <wp:extent cx="596646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Many of the forward-looking statements are located in Part I, Item 2 of this Form 10-Q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"future," "outlook," "potential," "project," "projection," "plan," "intend," "seek," "may," "could," "would," "will," "should," "can," "can have," "likely," the negatives thereof and other similar expressions.</w:t>
      </w:r>
    </w:p>
    <w:p>
      <w:pPr>
        <w:spacing w:after="0" w:line="20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we may not predict. As a result, our actual results may differ materially from those contemplated by the forward-looking statements, and you should not unduly rely on these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20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or arising from our organizational structure;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food-borne illness and food safety and other health concerns about our food;</w:t>
      </w:r>
    </w:p>
    <w:p>
      <w:pPr>
        <w:spacing w:after="0" w:line="9" w:lineRule="exact"/>
        <w:rPr>
          <w:rFonts w:ascii="Arial" w:cs="Arial" w:eastAsia="Arial" w:hAnsi="Arial"/>
          <w:sz w:val="18"/>
          <w:szCs w:val="18"/>
          <w:color w:val="auto"/>
        </w:rPr>
      </w:pPr>
    </w:p>
    <w:p>
      <w:pPr>
        <w:ind w:left="660" w:right="220" w:hanging="328"/>
        <w:spacing w:after="0" w:line="265" w:lineRule="auto"/>
        <w:tabs>
          <w:tab w:leader="none" w:pos="669"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relating to the economy and financial markets, including in relation to trade and tax policy changes and other macroeconomic uncertainty, including inflation, fluctuating interest rates, stock market volatility, recession concerns, and other factors;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onboarding new members of management, including the Chief Executive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unionization activities of our Team Members on our reputation, operations and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reliance on certain information technology systems, and potential failures or interruptions;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data, privacy, cyber security and the use and implementation of information technology systems, including our digital ordering and payment platforms for our delivery business;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increased adoption, implementation and use of artificial intelligence ("AI") technologies across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including from our competitors in the restaurant industry or our own restaurants;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increasingly competitive labor market and our ability to attract and retain the best talent and qualified employees;</w:t>
      </w:r>
    </w:p>
    <w:p>
      <w:pPr>
        <w:spacing w:after="0" w:line="9" w:lineRule="exact"/>
        <w:rPr>
          <w:rFonts w:ascii="Arial" w:cs="Arial" w:eastAsia="Arial" w:hAnsi="Arial"/>
          <w:sz w:val="18"/>
          <w:szCs w:val="18"/>
          <w:color w:val="auto"/>
        </w:rPr>
      </w:pPr>
    </w:p>
    <w:p>
      <w:pPr>
        <w:jc w:val="both"/>
        <w:ind w:left="660" w:right="100" w:hanging="328"/>
        <w:spacing w:after="0" w:line="250"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federal, state or local government regulations relating to privacy, data protection, advertising and consumer protection, building and zoning requirements, labor and employment matters, costs of or ability to open new restaurants, or the sale of food and alcoholic beverages;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achieve our growth strategy, including as a result of, among other things, the availability of suitable new restaurant sites in existing and new markets and opening of new restaurants at the anticipated rate and on the anticipated timeline;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consumer sentiment and other economic factors on our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 in food and other operating costs, tariffs and import taxes, and supply shortages;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identified in our filings with the Securities and Exchange Commission (the “SEC").</w:t>
      </w:r>
    </w:p>
    <w:p>
      <w:pPr>
        <w:spacing w:after="0" w:line="23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10-Q in the context of the risks and uncertainties disclosed in our Annual Report on Form 10-K for the fiscal year ended December 28, 2025 filed with the SEC on February 24, 2026, and subsequent filings with the SEC, which are available on the SEC's website at www.sec.gov.</w:t>
      </w:r>
    </w:p>
    <w:p>
      <w:pPr>
        <w:spacing w:after="0" w:line="20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forward-looking statements included in this Form 10-Q are made only as of the date hereof. The Company undertakes no obligation to publicly update or revise any forward-looking statement as a result of new information, future events or otherwise, except as otherwise required by law.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7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21590</wp:posOffset>
            </wp:positionV>
            <wp:extent cx="596646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1. Financial Statements (Unaudited)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3600" w:type="dxa"/>
            <w:vAlign w:val="bottom"/>
            <w:gridSpan w:val="5"/>
          </w:tcPr>
          <w:p>
            <w:pPr>
              <w:ind w:left="2640"/>
              <w:spacing w:after="0"/>
              <w:rPr>
                <w:sz w:val="20"/>
                <w:szCs w:val="20"/>
                <w:color w:val="auto"/>
              </w:rPr>
            </w:pPr>
            <w:r>
              <w:rPr>
                <w:rFonts w:ascii="Arial" w:cs="Arial" w:eastAsia="Arial" w:hAnsi="Arial"/>
                <w:sz w:val="18"/>
                <w:szCs w:val="18"/>
                <w:b w:val="1"/>
                <w:bCs w:val="1"/>
                <w:color w:val="auto"/>
              </w:rPr>
              <w:t>Page</w:t>
            </w:r>
          </w:p>
        </w:tc>
      </w:tr>
      <w:tr>
        <w:trPr>
          <w:trHeight w:val="210"/>
        </w:trPr>
        <w:tc>
          <w:tcPr>
            <w:tcW w:w="140" w:type="dxa"/>
            <w:vAlign w:val="bottom"/>
            <w:shd w:val="clear" w:color="auto" w:fill="DBDBDB"/>
          </w:tcPr>
          <w:p>
            <w:pPr>
              <w:spacing w:after="0"/>
              <w:rPr>
                <w:sz w:val="18"/>
                <w:szCs w:val="18"/>
                <w:color w:val="auto"/>
              </w:rPr>
            </w:pPr>
          </w:p>
        </w:tc>
        <w:tc>
          <w:tcPr>
            <w:tcW w:w="7500" w:type="dxa"/>
            <w:vAlign w:val="bottom"/>
            <w:gridSpan w:val="22"/>
            <w:shd w:val="clear" w:color="auto" w:fill="DBDBDB"/>
          </w:tcPr>
          <w:p>
            <w:pPr>
              <w:spacing w:after="0"/>
              <w:rPr>
                <w:sz w:val="20"/>
                <w:szCs w:val="20"/>
                <w:color w:val="auto"/>
              </w:rPr>
            </w:pPr>
            <w:r>
              <w:rPr>
                <w:rFonts w:ascii="Arial" w:cs="Arial" w:eastAsia="Arial" w:hAnsi="Arial"/>
                <w:sz w:val="18"/>
                <w:szCs w:val="18"/>
                <w:color w:val="auto"/>
              </w:rPr>
              <w:t>Condensed Consolidated Balance Sheets</w:t>
            </w:r>
          </w:p>
        </w:tc>
        <w:tc>
          <w:tcPr>
            <w:tcW w:w="2960" w:type="dxa"/>
            <w:vAlign w:val="bottom"/>
            <w:gridSpan w:val="4"/>
            <w:shd w:val="clear" w:color="auto" w:fill="DBDBDB"/>
          </w:tcPr>
          <w:p>
            <w:pPr>
              <w:jc w:val="center"/>
              <w:ind w:left="2650"/>
              <w:spacing w:after="0"/>
              <w:rPr>
                <w:sz w:val="20"/>
                <w:szCs w:val="20"/>
                <w:color w:val="auto"/>
              </w:rPr>
            </w:pPr>
            <w:r>
              <w:rPr>
                <w:rFonts w:ascii="Arial" w:cs="Arial" w:eastAsia="Arial" w:hAnsi="Arial"/>
                <w:sz w:val="18"/>
                <w:szCs w:val="18"/>
                <w:color w:val="auto"/>
                <w:w w:val="99"/>
              </w:rPr>
              <w:t>3</w:t>
            </w:r>
          </w:p>
        </w:tc>
        <w:tc>
          <w:tcPr>
            <w:tcW w:w="640" w:type="dxa"/>
            <w:vAlign w:val="bottom"/>
            <w:shd w:val="clear" w:color="auto" w:fill="DBDBDB"/>
          </w:tcPr>
          <w:p>
            <w:pPr>
              <w:spacing w:after="0"/>
              <w:rPr>
                <w:sz w:val="18"/>
                <w:szCs w:val="18"/>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7500" w:type="dxa"/>
            <w:vAlign w:val="bottom"/>
            <w:gridSpan w:val="22"/>
          </w:tcPr>
          <w:p>
            <w:pPr>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2960" w:type="dxa"/>
            <w:vAlign w:val="bottom"/>
            <w:gridSpan w:val="4"/>
          </w:tcPr>
          <w:p>
            <w:pPr>
              <w:jc w:val="center"/>
              <w:ind w:left="2650"/>
              <w:spacing w:after="0" w:line="202" w:lineRule="exact"/>
              <w:rPr>
                <w:sz w:val="20"/>
                <w:szCs w:val="20"/>
                <w:color w:val="auto"/>
              </w:rPr>
            </w:pPr>
            <w:r>
              <w:rPr>
                <w:rFonts w:ascii="Arial" w:cs="Arial" w:eastAsia="Arial" w:hAnsi="Arial"/>
                <w:sz w:val="18"/>
                <w:szCs w:val="18"/>
                <w:color w:val="auto"/>
                <w:w w:val="99"/>
              </w:rPr>
              <w:t>4</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7500" w:type="dxa"/>
            <w:vAlign w:val="bottom"/>
            <w:gridSpan w:val="22"/>
            <w:shd w:val="clear" w:color="auto" w:fill="DBDBDB"/>
          </w:tcPr>
          <w:p>
            <w:pPr>
              <w:spacing w:after="0" w:line="202" w:lineRule="exact"/>
              <w:rPr>
                <w:sz w:val="20"/>
                <w:szCs w:val="20"/>
                <w:color w:val="auto"/>
              </w:rPr>
            </w:pPr>
            <w:r>
              <w:rPr>
                <w:rFonts w:ascii="Arial" w:cs="Arial" w:eastAsia="Arial" w:hAnsi="Arial"/>
                <w:sz w:val="18"/>
                <w:szCs w:val="18"/>
                <w:color w:val="auto"/>
              </w:rPr>
              <w:t>Condensed Consolidated Statements of Stockholders' Equity</w:t>
            </w:r>
          </w:p>
        </w:tc>
        <w:tc>
          <w:tcPr>
            <w:tcW w:w="2960" w:type="dxa"/>
            <w:vAlign w:val="bottom"/>
            <w:gridSpan w:val="4"/>
            <w:shd w:val="clear" w:color="auto" w:fill="DBDBDB"/>
          </w:tcPr>
          <w:p>
            <w:pPr>
              <w:jc w:val="center"/>
              <w:ind w:left="2650"/>
              <w:spacing w:after="0" w:line="202" w:lineRule="exact"/>
              <w:rPr>
                <w:sz w:val="20"/>
                <w:szCs w:val="20"/>
                <w:color w:val="auto"/>
              </w:rPr>
            </w:pPr>
            <w:r>
              <w:rPr>
                <w:rFonts w:ascii="Arial" w:cs="Arial" w:eastAsia="Arial" w:hAnsi="Arial"/>
                <w:sz w:val="18"/>
                <w:szCs w:val="18"/>
                <w:color w:val="auto"/>
                <w:w w:val="99"/>
              </w:rPr>
              <w:t>5</w:t>
            </w:r>
          </w:p>
        </w:tc>
        <w:tc>
          <w:tcPr>
            <w:tcW w:w="640" w:type="dxa"/>
            <w:vAlign w:val="bottom"/>
            <w:shd w:val="clear" w:color="auto" w:fill="DBDBDB"/>
          </w:tcPr>
          <w:p>
            <w:pPr>
              <w:spacing w:after="0"/>
              <w:rPr>
                <w:sz w:val="17"/>
                <w:szCs w:val="17"/>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380" w:type="dxa"/>
            <w:vAlign w:val="bottom"/>
            <w:tcBorders>
              <w:top w:val="single" w:sz="8" w:color="auto"/>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4840" w:type="dxa"/>
            <w:vAlign w:val="bottom"/>
            <w:gridSpan w:val="21"/>
          </w:tcPr>
          <w:p>
            <w:pPr>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2660" w:type="dxa"/>
            <w:vAlign w:val="bottom"/>
          </w:tcPr>
          <w:p>
            <w:pPr>
              <w:spacing w:after="0"/>
              <w:rPr>
                <w:sz w:val="17"/>
                <w:szCs w:val="17"/>
                <w:color w:val="auto"/>
              </w:rPr>
            </w:pPr>
          </w:p>
        </w:tc>
        <w:tc>
          <w:tcPr>
            <w:tcW w:w="2800" w:type="dxa"/>
            <w:vAlign w:val="bottom"/>
            <w:gridSpan w:val="2"/>
          </w:tcPr>
          <w:p>
            <w:pPr>
              <w:spacing w:after="0"/>
              <w:rPr>
                <w:sz w:val="17"/>
                <w:szCs w:val="17"/>
                <w:color w:val="auto"/>
              </w:rPr>
            </w:pPr>
          </w:p>
        </w:tc>
        <w:tc>
          <w:tcPr>
            <w:tcW w:w="1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6</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7500" w:type="dxa"/>
            <w:vAlign w:val="bottom"/>
            <w:gridSpan w:val="22"/>
            <w:shd w:val="clear" w:color="auto" w:fill="DBDBDB"/>
          </w:tcPr>
          <w:p>
            <w:pPr>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960" w:type="dxa"/>
            <w:vAlign w:val="bottom"/>
            <w:gridSpan w:val="4"/>
            <w:shd w:val="clear" w:color="auto" w:fill="DBDBDB"/>
          </w:tcPr>
          <w:p>
            <w:pPr>
              <w:jc w:val="center"/>
              <w:ind w:left="2650"/>
              <w:spacing w:after="0" w:line="202" w:lineRule="exact"/>
              <w:rPr>
                <w:sz w:val="20"/>
                <w:szCs w:val="20"/>
                <w:color w:val="auto"/>
              </w:rPr>
            </w:pPr>
            <w:r>
              <w:rPr>
                <w:rFonts w:ascii="Arial" w:cs="Arial" w:eastAsia="Arial" w:hAnsi="Arial"/>
                <w:sz w:val="18"/>
                <w:szCs w:val="18"/>
                <w:color w:val="auto"/>
                <w:w w:val="99"/>
              </w:rPr>
              <w:t>8</w:t>
            </w:r>
          </w:p>
        </w:tc>
        <w:tc>
          <w:tcPr>
            <w:tcW w:w="640" w:type="dxa"/>
            <w:vAlign w:val="bottom"/>
            <w:shd w:val="clear" w:color="auto" w:fill="DBDBDB"/>
          </w:tcPr>
          <w:p>
            <w:pPr>
              <w:spacing w:after="0"/>
              <w:rPr>
                <w:sz w:val="17"/>
                <w:szCs w:val="17"/>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19"/>
          </w:tcPr>
          <w:p>
            <w:pPr>
              <w:spacing w:after="0" w:line="202" w:lineRule="exact"/>
              <w:rPr>
                <w:sz w:val="20"/>
                <w:szCs w:val="20"/>
                <w:color w:val="auto"/>
              </w:rPr>
            </w:pPr>
            <w:r>
              <w:rPr>
                <w:rFonts w:ascii="Arial" w:cs="Arial" w:eastAsia="Arial" w:hAnsi="Arial"/>
                <w:sz w:val="18"/>
                <w:szCs w:val="18"/>
                <w:color w:val="auto"/>
              </w:rPr>
              <w:t>Note 1. Description Of Business</w:t>
            </w:r>
          </w:p>
        </w:tc>
        <w:tc>
          <w:tcPr>
            <w:tcW w:w="3040" w:type="dxa"/>
            <w:vAlign w:val="bottom"/>
            <w:gridSpan w:val="2"/>
          </w:tcPr>
          <w:p>
            <w:pPr>
              <w:spacing w:after="0"/>
              <w:rPr>
                <w:sz w:val="17"/>
                <w:szCs w:val="17"/>
                <w:color w:val="auto"/>
              </w:rPr>
            </w:pPr>
          </w:p>
        </w:tc>
        <w:tc>
          <w:tcPr>
            <w:tcW w:w="2800" w:type="dxa"/>
            <w:vAlign w:val="bottom"/>
            <w:gridSpan w:val="2"/>
          </w:tcPr>
          <w:p>
            <w:pPr>
              <w:spacing w:after="0"/>
              <w:rPr>
                <w:sz w:val="17"/>
                <w:szCs w:val="17"/>
                <w:color w:val="auto"/>
              </w:rPr>
            </w:pPr>
          </w:p>
        </w:tc>
        <w:tc>
          <w:tcPr>
            <w:tcW w:w="1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8</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140" w:type="dxa"/>
            <w:vAlign w:val="bottom"/>
            <w:gridSpan w:val="18"/>
            <w:shd w:val="clear" w:color="auto" w:fill="DBDBDB"/>
          </w:tcPr>
          <w:p>
            <w:pPr>
              <w:spacing w:after="0" w:line="202" w:lineRule="exact"/>
              <w:rPr>
                <w:sz w:val="20"/>
                <w:szCs w:val="20"/>
                <w:color w:val="auto"/>
              </w:rPr>
            </w:pPr>
            <w:r>
              <w:rPr>
                <w:rFonts w:ascii="Arial" w:cs="Arial" w:eastAsia="Arial" w:hAnsi="Arial"/>
                <w:sz w:val="18"/>
                <w:szCs w:val="18"/>
                <w:color w:val="auto"/>
                <w:w w:val="99"/>
              </w:rPr>
              <w:t>Note 2. Summary Of Significant Accounting Policies</w:t>
            </w:r>
          </w:p>
        </w:tc>
        <w:tc>
          <w:tcPr>
            <w:tcW w:w="3260" w:type="dxa"/>
            <w:vAlign w:val="bottom"/>
            <w:gridSpan w:val="3"/>
            <w:shd w:val="clear" w:color="auto" w:fill="DBDBDB"/>
          </w:tcPr>
          <w:p>
            <w:pPr>
              <w:spacing w:after="0"/>
              <w:rPr>
                <w:sz w:val="17"/>
                <w:szCs w:val="17"/>
                <w:color w:val="auto"/>
              </w:rPr>
            </w:pPr>
          </w:p>
        </w:tc>
        <w:tc>
          <w:tcPr>
            <w:tcW w:w="2800" w:type="dxa"/>
            <w:vAlign w:val="bottom"/>
            <w:gridSpan w:val="2"/>
            <w:shd w:val="clear" w:color="auto" w:fill="DBDBDB"/>
          </w:tcPr>
          <w:p>
            <w:pPr>
              <w:spacing w:after="0"/>
              <w:rPr>
                <w:sz w:val="17"/>
                <w:szCs w:val="17"/>
                <w:color w:val="auto"/>
              </w:rPr>
            </w:pPr>
          </w:p>
        </w:tc>
        <w:tc>
          <w:tcPr>
            <w:tcW w:w="160" w:type="dxa"/>
            <w:vAlign w:val="bottom"/>
            <w:gridSpan w:val="2"/>
            <w:shd w:val="clear" w:color="auto" w:fill="DBDBDB"/>
          </w:tcPr>
          <w:p>
            <w:pPr>
              <w:jc w:val="center"/>
              <w:ind w:right="60"/>
              <w:spacing w:after="0" w:line="202" w:lineRule="exact"/>
              <w:rPr>
                <w:sz w:val="20"/>
                <w:szCs w:val="20"/>
                <w:color w:val="auto"/>
              </w:rPr>
            </w:pPr>
            <w:r>
              <w:rPr>
                <w:rFonts w:ascii="Arial" w:cs="Arial" w:eastAsia="Arial" w:hAnsi="Arial"/>
                <w:sz w:val="18"/>
                <w:szCs w:val="18"/>
                <w:color w:val="auto"/>
                <w:w w:val="99"/>
              </w:rPr>
              <w:t>8</w:t>
            </w:r>
          </w:p>
        </w:tc>
        <w:tc>
          <w:tcPr>
            <w:tcW w:w="640" w:type="dxa"/>
            <w:vAlign w:val="bottom"/>
            <w:shd w:val="clear" w:color="auto" w:fill="DBDBDB"/>
          </w:tcPr>
          <w:p>
            <w:pPr>
              <w:spacing w:after="0"/>
              <w:rPr>
                <w:sz w:val="17"/>
                <w:szCs w:val="17"/>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18"/>
          </w:tcPr>
          <w:p>
            <w:pPr>
              <w:spacing w:after="0" w:line="202" w:lineRule="exact"/>
              <w:rPr>
                <w:sz w:val="20"/>
                <w:szCs w:val="20"/>
                <w:color w:val="auto"/>
              </w:rPr>
            </w:pPr>
            <w:r>
              <w:rPr>
                <w:rFonts w:ascii="Arial" w:cs="Arial" w:eastAsia="Arial" w:hAnsi="Arial"/>
                <w:sz w:val="18"/>
                <w:szCs w:val="18"/>
                <w:color w:val="auto"/>
              </w:rPr>
              <w:t>Note 3. Revenue Recognition</w:t>
            </w:r>
          </w:p>
        </w:tc>
        <w:tc>
          <w:tcPr>
            <w:tcW w:w="3260" w:type="dxa"/>
            <w:vAlign w:val="bottom"/>
            <w:gridSpan w:val="3"/>
          </w:tcPr>
          <w:p>
            <w:pPr>
              <w:spacing w:after="0"/>
              <w:rPr>
                <w:sz w:val="17"/>
                <w:szCs w:val="17"/>
                <w:color w:val="auto"/>
              </w:rPr>
            </w:pP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10</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2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w w:val="99"/>
              </w:rPr>
              <w:t>Note 4. Inventories</w:t>
            </w:r>
          </w:p>
        </w:tc>
        <w:tc>
          <w:tcPr>
            <w:tcW w:w="5880" w:type="dxa"/>
            <w:vAlign w:val="bottom"/>
            <w:gridSpan w:val="19"/>
            <w:shd w:val="clear" w:color="auto" w:fill="DBDBDB"/>
          </w:tcPr>
          <w:p>
            <w:pPr>
              <w:spacing w:after="0"/>
              <w:rPr>
                <w:sz w:val="17"/>
                <w:szCs w:val="17"/>
                <w:color w:val="auto"/>
              </w:rPr>
            </w:pP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10</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2"/>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1"/>
          </w:tcPr>
          <w:p>
            <w:pPr>
              <w:spacing w:after="0" w:line="202" w:lineRule="exact"/>
              <w:rPr>
                <w:sz w:val="20"/>
                <w:szCs w:val="20"/>
                <w:color w:val="auto"/>
              </w:rPr>
            </w:pPr>
            <w:r>
              <w:rPr>
                <w:rFonts w:ascii="Arial" w:cs="Arial" w:eastAsia="Arial" w:hAnsi="Arial"/>
                <w:sz w:val="18"/>
                <w:szCs w:val="18"/>
                <w:color w:val="auto"/>
              </w:rPr>
              <w:t>Note 5. Property &amp; Equipment, Net</w:t>
            </w: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10</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920" w:type="dxa"/>
            <w:vAlign w:val="bottom"/>
            <w:tcBorders>
              <w:bottom w:val="single" w:sz="8" w:color="auto"/>
            </w:tcBorders>
            <w:gridSpan w:val="12"/>
            <w:shd w:val="clear" w:color="auto" w:fill="DBDBDB"/>
          </w:tcPr>
          <w:p>
            <w:pPr>
              <w:spacing w:after="0" w:line="202" w:lineRule="exact"/>
              <w:rPr>
                <w:sz w:val="20"/>
                <w:szCs w:val="20"/>
                <w:color w:val="auto"/>
              </w:rPr>
            </w:pPr>
            <w:r>
              <w:rPr>
                <w:rFonts w:ascii="Arial" w:cs="Arial" w:eastAsia="Arial" w:hAnsi="Arial"/>
                <w:sz w:val="18"/>
                <w:szCs w:val="18"/>
                <w:color w:val="auto"/>
                <w:w w:val="99"/>
              </w:rPr>
              <w:t>Note 6. Goodwill &amp; Intangible Assets</w:t>
            </w:r>
          </w:p>
        </w:tc>
        <w:tc>
          <w:tcPr>
            <w:tcW w:w="4480" w:type="dxa"/>
            <w:vAlign w:val="bottom"/>
            <w:tcBorders>
              <w:bottom w:val="single" w:sz="8" w:color="DBDBDB"/>
            </w:tcBorders>
            <w:gridSpan w:val="9"/>
            <w:shd w:val="clear" w:color="auto" w:fill="DBDBDB"/>
          </w:tcPr>
          <w:p>
            <w:pPr>
              <w:spacing w:after="0"/>
              <w:rPr>
                <w:sz w:val="21"/>
                <w:szCs w:val="21"/>
                <w:color w:val="auto"/>
              </w:rPr>
            </w:pPr>
          </w:p>
        </w:tc>
        <w:tc>
          <w:tcPr>
            <w:tcW w:w="276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gridSpan w:val="3"/>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11</w:t>
            </w:r>
          </w:p>
        </w:tc>
        <w:tc>
          <w:tcPr>
            <w:tcW w:w="640" w:type="dxa"/>
            <w:vAlign w:val="bottom"/>
            <w:tcBorders>
              <w:bottom w:val="single" w:sz="8" w:color="DBDBDB"/>
            </w:tcBorders>
            <w:shd w:val="clear" w:color="auto" w:fill="DBDBDB"/>
          </w:tcPr>
          <w:p>
            <w:pPr>
              <w:spacing w:after="0"/>
              <w:rPr>
                <w:sz w:val="21"/>
                <w:szCs w:val="21"/>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1"/>
          </w:tcPr>
          <w:p>
            <w:pPr>
              <w:spacing w:after="0" w:line="202" w:lineRule="exact"/>
              <w:rPr>
                <w:sz w:val="20"/>
                <w:szCs w:val="20"/>
                <w:color w:val="auto"/>
              </w:rPr>
            </w:pPr>
            <w:r>
              <w:rPr>
                <w:rFonts w:ascii="Arial" w:cs="Arial" w:eastAsia="Arial" w:hAnsi="Arial"/>
                <w:sz w:val="18"/>
                <w:szCs w:val="18"/>
                <w:color w:val="auto"/>
              </w:rPr>
              <w:t>Note 7. Fair Value of Financial Instruments</w:t>
            </w: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12</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w w:val="98"/>
              </w:rPr>
              <w:t>Note 8. Debt</w:t>
            </w:r>
          </w:p>
        </w:tc>
        <w:tc>
          <w:tcPr>
            <w:tcW w:w="6380" w:type="dxa"/>
            <w:vAlign w:val="bottom"/>
            <w:gridSpan w:val="20"/>
            <w:shd w:val="clear" w:color="auto" w:fill="DBDBDB"/>
          </w:tcPr>
          <w:p>
            <w:pPr>
              <w:spacing w:after="0"/>
              <w:rPr>
                <w:sz w:val="17"/>
                <w:szCs w:val="17"/>
                <w:color w:val="auto"/>
              </w:rPr>
            </w:pP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13</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1"/>
          </w:tcPr>
          <w:p>
            <w:pPr>
              <w:spacing w:after="0" w:line="202" w:lineRule="exact"/>
              <w:rPr>
                <w:sz w:val="20"/>
                <w:szCs w:val="20"/>
                <w:color w:val="auto"/>
              </w:rPr>
            </w:pPr>
            <w:r>
              <w:rPr>
                <w:rFonts w:ascii="Arial" w:cs="Arial" w:eastAsia="Arial" w:hAnsi="Arial"/>
                <w:sz w:val="18"/>
                <w:szCs w:val="18"/>
                <w:color w:val="auto"/>
              </w:rPr>
              <w:t>Note 9. Non-Controlling Interests</w:t>
            </w: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14</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20" w:type="dxa"/>
            <w:vAlign w:val="bottom"/>
            <w:gridSpan w:val="13"/>
            <w:shd w:val="clear" w:color="auto" w:fill="DBDBDB"/>
          </w:tcPr>
          <w:p>
            <w:pPr>
              <w:spacing w:after="0" w:line="202" w:lineRule="exact"/>
              <w:rPr>
                <w:sz w:val="20"/>
                <w:szCs w:val="20"/>
                <w:color w:val="auto"/>
              </w:rPr>
            </w:pPr>
            <w:r>
              <w:rPr>
                <w:rFonts w:ascii="Arial" w:cs="Arial" w:eastAsia="Arial" w:hAnsi="Arial"/>
                <w:sz w:val="18"/>
                <w:szCs w:val="18"/>
                <w:color w:val="auto"/>
                <w:w w:val="99"/>
              </w:rPr>
              <w:t>Note 10. Equity-Based Compensation</w:t>
            </w:r>
          </w:p>
        </w:tc>
        <w:tc>
          <w:tcPr>
            <w:tcW w:w="4380" w:type="dxa"/>
            <w:vAlign w:val="bottom"/>
            <w:gridSpan w:val="8"/>
            <w:shd w:val="clear" w:color="auto" w:fill="DBDBDB"/>
          </w:tcPr>
          <w:p>
            <w:pPr>
              <w:spacing w:after="0"/>
              <w:rPr>
                <w:sz w:val="17"/>
                <w:szCs w:val="17"/>
                <w:color w:val="auto"/>
              </w:rPr>
            </w:pP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15</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13"/>
          </w:tcPr>
          <w:p>
            <w:pPr>
              <w:spacing w:after="0" w:line="202" w:lineRule="exact"/>
              <w:rPr>
                <w:sz w:val="20"/>
                <w:szCs w:val="20"/>
                <w:color w:val="auto"/>
              </w:rPr>
            </w:pPr>
            <w:r>
              <w:rPr>
                <w:rFonts w:ascii="Arial" w:cs="Arial" w:eastAsia="Arial" w:hAnsi="Arial"/>
                <w:sz w:val="18"/>
                <w:szCs w:val="18"/>
                <w:color w:val="auto"/>
              </w:rPr>
              <w:t>Note 11. Income Taxes</w:t>
            </w:r>
          </w:p>
        </w:tc>
        <w:tc>
          <w:tcPr>
            <w:tcW w:w="4380" w:type="dxa"/>
            <w:vAlign w:val="bottom"/>
            <w:gridSpan w:val="8"/>
          </w:tcPr>
          <w:p>
            <w:pPr>
              <w:spacing w:after="0"/>
              <w:rPr>
                <w:sz w:val="17"/>
                <w:szCs w:val="17"/>
                <w:color w:val="auto"/>
              </w:rPr>
            </w:pP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15</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400" w:type="dxa"/>
            <w:vAlign w:val="bottom"/>
            <w:gridSpan w:val="21"/>
            <w:shd w:val="clear" w:color="auto" w:fill="DBDBDB"/>
          </w:tcPr>
          <w:p>
            <w:pPr>
              <w:spacing w:after="0" w:line="202" w:lineRule="exact"/>
              <w:rPr>
                <w:sz w:val="20"/>
                <w:szCs w:val="20"/>
                <w:color w:val="auto"/>
              </w:rPr>
            </w:pPr>
            <w:r>
              <w:rPr>
                <w:rFonts w:ascii="Arial" w:cs="Arial" w:eastAsia="Arial" w:hAnsi="Arial"/>
                <w:sz w:val="18"/>
                <w:szCs w:val="18"/>
                <w:color w:val="auto"/>
              </w:rPr>
              <w:t>Note 12. Earnings Per Share</w:t>
            </w: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16</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spacing w:after="0" w:line="202" w:lineRule="exact"/>
              <w:rPr>
                <w:sz w:val="20"/>
                <w:szCs w:val="20"/>
                <w:color w:val="auto"/>
              </w:rPr>
            </w:pPr>
            <w:r>
              <w:rPr>
                <w:rFonts w:ascii="Arial" w:cs="Arial" w:eastAsia="Arial" w:hAnsi="Arial"/>
                <w:sz w:val="18"/>
                <w:szCs w:val="18"/>
                <w:color w:val="auto"/>
              </w:rPr>
              <w:t>Note 13. Contingencies</w:t>
            </w:r>
          </w:p>
        </w:tc>
        <w:tc>
          <w:tcPr>
            <w:tcW w:w="5100" w:type="dxa"/>
            <w:vAlign w:val="bottom"/>
            <w:gridSpan w:val="16"/>
          </w:tcPr>
          <w:p>
            <w:pPr>
              <w:spacing w:after="0"/>
              <w:rPr>
                <w:sz w:val="17"/>
                <w:szCs w:val="17"/>
                <w:color w:val="auto"/>
              </w:rPr>
            </w:pP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17</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400" w:type="dxa"/>
            <w:vAlign w:val="bottom"/>
            <w:gridSpan w:val="21"/>
            <w:shd w:val="clear" w:color="auto" w:fill="DBDBDB"/>
          </w:tcPr>
          <w:p>
            <w:pPr>
              <w:spacing w:after="0" w:line="202" w:lineRule="exact"/>
              <w:rPr>
                <w:sz w:val="20"/>
                <w:szCs w:val="20"/>
                <w:color w:val="auto"/>
              </w:rPr>
            </w:pPr>
            <w:r>
              <w:rPr>
                <w:rFonts w:ascii="Arial" w:cs="Arial" w:eastAsia="Arial" w:hAnsi="Arial"/>
                <w:sz w:val="18"/>
                <w:szCs w:val="18"/>
                <w:color w:val="auto"/>
              </w:rPr>
              <w:t>Note 14. Segment Information</w:t>
            </w: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17</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1"/>
          </w:tcPr>
          <w:p>
            <w:pPr>
              <w:spacing w:after="0" w:line="202" w:lineRule="exact"/>
              <w:rPr>
                <w:sz w:val="20"/>
                <w:szCs w:val="20"/>
                <w:color w:val="auto"/>
              </w:rPr>
            </w:pPr>
            <w:r>
              <w:rPr>
                <w:rFonts w:ascii="Arial" w:cs="Arial" w:eastAsia="Arial" w:hAnsi="Arial"/>
                <w:sz w:val="18"/>
                <w:szCs w:val="18"/>
                <w:color w:val="auto"/>
              </w:rPr>
              <w:t>Note 15. Related Party Transactions</w:t>
            </w: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18</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400" w:type="dxa"/>
            <w:vAlign w:val="bottom"/>
            <w:gridSpan w:val="21"/>
            <w:shd w:val="clear" w:color="auto" w:fill="DBDBDB"/>
          </w:tcPr>
          <w:p>
            <w:pPr>
              <w:spacing w:after="0" w:line="202" w:lineRule="exact"/>
              <w:rPr>
                <w:sz w:val="20"/>
                <w:szCs w:val="20"/>
                <w:color w:val="auto"/>
              </w:rPr>
            </w:pPr>
            <w:r>
              <w:rPr>
                <w:rFonts w:ascii="Arial" w:cs="Arial" w:eastAsia="Arial" w:hAnsi="Arial"/>
                <w:sz w:val="18"/>
                <w:szCs w:val="18"/>
                <w:color w:val="auto"/>
              </w:rPr>
              <w:t>Note 16. Subsequent Events</w:t>
            </w: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19</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PORTILLO'S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29, 2026</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28, 2025</w:t>
            </w:r>
          </w:p>
        </w:tc>
      </w:tr>
      <w:tr>
        <w:trPr>
          <w:trHeight w:val="226"/>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47"/>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r>
      <w:tr>
        <w:trPr>
          <w:trHeight w:val="235"/>
        </w:trPr>
        <w:tc>
          <w:tcPr>
            <w:tcW w:w="7900" w:type="dxa"/>
            <w:vAlign w:val="bottom"/>
          </w:tcPr>
          <w:p>
            <w:pPr>
              <w:ind w:left="140"/>
              <w:spacing w:after="0"/>
              <w:rPr>
                <w:sz w:val="20"/>
                <w:szCs w:val="20"/>
                <w:color w:val="auto"/>
              </w:rPr>
            </w:pPr>
            <w:r>
              <w:rPr>
                <w:rFonts w:ascii="Arial" w:cs="Arial" w:eastAsia="Arial" w:hAnsi="Arial"/>
                <w:sz w:val="16"/>
                <w:szCs w:val="16"/>
                <w:color w:val="auto"/>
              </w:rPr>
              <w:t>Cash and cash equivalents and restricted cash</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23,993</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19,963</w:t>
            </w:r>
          </w:p>
        </w:tc>
      </w:tr>
      <w:tr>
        <w:trPr>
          <w:trHeight w:val="251"/>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Accounts and tenant improvement receivables</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13,137</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16,502</w:t>
            </w:r>
          </w:p>
        </w:tc>
      </w:tr>
      <w:tr>
        <w:trPr>
          <w:trHeight w:val="235"/>
        </w:trPr>
        <w:tc>
          <w:tcPr>
            <w:tcW w:w="790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7,668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8,207</w:t>
            </w:r>
          </w:p>
        </w:tc>
      </w:tr>
      <w:tr>
        <w:trPr>
          <w:trHeight w:val="244"/>
        </w:trPr>
        <w:tc>
          <w:tcPr>
            <w:tcW w:w="79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Prepaid expenses and other</w:t>
            </w:r>
          </w:p>
        </w:tc>
        <w:tc>
          <w:tcPr>
            <w:tcW w:w="180" w:type="dxa"/>
            <w:vAlign w:val="bottom"/>
            <w:tcBorders>
              <w:bottom w:val="single" w:sz="8" w:color="auto"/>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7,127</w:t>
            </w:r>
          </w:p>
        </w:tc>
        <w:tc>
          <w:tcPr>
            <w:tcW w:w="100" w:type="dxa"/>
            <w:vAlign w:val="bottom"/>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6,844</w:t>
            </w:r>
          </w:p>
        </w:tc>
      </w:tr>
      <w:tr>
        <w:trPr>
          <w:trHeight w:val="236"/>
        </w:trPr>
        <w:tc>
          <w:tcPr>
            <w:tcW w:w="79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51,925</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51,516</w:t>
            </w:r>
          </w:p>
        </w:tc>
      </w:tr>
      <w:tr>
        <w:trPr>
          <w:trHeight w:val="237"/>
        </w:trPr>
        <w:tc>
          <w:tcPr>
            <w:tcW w:w="790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shd w:val="clear" w:color="auto" w:fill="DBDBDB"/>
          </w:tcPr>
          <w:p>
            <w:pPr>
              <w:spacing w:after="0"/>
              <w:rPr>
                <w:sz w:val="20"/>
                <w:szCs w:val="20"/>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428,546</w:t>
            </w:r>
          </w:p>
        </w:tc>
        <w:tc>
          <w:tcPr>
            <w:tcW w:w="100" w:type="dxa"/>
            <w:vAlign w:val="bottom"/>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420,263</w:t>
            </w:r>
          </w:p>
        </w:tc>
      </w:tr>
      <w:tr>
        <w:trPr>
          <w:trHeight w:val="235"/>
        </w:trPr>
        <w:tc>
          <w:tcPr>
            <w:tcW w:w="790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264,851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261,086</w:t>
            </w:r>
          </w:p>
        </w:tc>
      </w:tr>
      <w:tr>
        <w:trPr>
          <w:trHeight w:val="251"/>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r>
      <w:tr>
        <w:trPr>
          <w:trHeight w:val="235"/>
        </w:trPr>
        <w:tc>
          <w:tcPr>
            <w:tcW w:w="790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221,725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221,725</w:t>
            </w:r>
          </w:p>
        </w:tc>
      </w:tr>
      <w:tr>
        <w:trPr>
          <w:trHeight w:val="251"/>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22,714</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23,391</w:t>
            </w:r>
          </w:p>
        </w:tc>
      </w:tr>
      <w:tr>
        <w:trPr>
          <w:trHeight w:val="235"/>
        </w:trPr>
        <w:tc>
          <w:tcPr>
            <w:tcW w:w="7900" w:type="dxa"/>
            <w:vAlign w:val="bottom"/>
          </w:tcPr>
          <w:p>
            <w:pPr>
              <w:ind w:left="140"/>
              <w:spacing w:after="0"/>
              <w:rPr>
                <w:sz w:val="20"/>
                <w:szCs w:val="20"/>
                <w:color w:val="auto"/>
              </w:rPr>
            </w:pPr>
            <w:r>
              <w:rPr>
                <w:rFonts w:ascii="Arial" w:cs="Arial" w:eastAsia="Arial" w:hAnsi="Arial"/>
                <w:sz w:val="16"/>
                <w:szCs w:val="16"/>
                <w:color w:val="auto"/>
              </w:rPr>
              <w:t>Equity method investment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15,624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15,696</w:t>
            </w:r>
          </w:p>
        </w:tc>
      </w:tr>
      <w:tr>
        <w:trPr>
          <w:trHeight w:val="251"/>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211,473</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211,267</w:t>
            </w:r>
          </w:p>
        </w:tc>
      </w:tr>
      <w:tr>
        <w:trPr>
          <w:trHeight w:val="236"/>
        </w:trPr>
        <w:tc>
          <w:tcPr>
            <w:tcW w:w="7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6,680</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7,292</w:t>
            </w:r>
          </w:p>
        </w:tc>
      </w:tr>
      <w:tr>
        <w:trPr>
          <w:trHeight w:val="237"/>
        </w:trPr>
        <w:tc>
          <w:tcPr>
            <w:tcW w:w="790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shd w:val="clear" w:color="auto" w:fill="DBDBDB"/>
          </w:tcPr>
          <w:p>
            <w:pPr>
              <w:spacing w:after="0"/>
              <w:rPr>
                <w:sz w:val="20"/>
                <w:szCs w:val="20"/>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872,514</w:t>
            </w:r>
          </w:p>
        </w:tc>
        <w:tc>
          <w:tcPr>
            <w:tcW w:w="100" w:type="dxa"/>
            <w:vAlign w:val="bottom"/>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873,669</w:t>
            </w:r>
          </w:p>
        </w:tc>
      </w:tr>
      <w:tr>
        <w:trPr>
          <w:trHeight w:val="239"/>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1,617,836</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1,606,534</w:t>
            </w: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5"/>
        </w:trPr>
        <w:tc>
          <w:tcPr>
            <w:tcW w:w="7900" w:type="dxa"/>
            <w:vAlign w:val="bottom"/>
            <w:shd w:val="clear" w:color="auto" w:fill="DBDBDB"/>
          </w:tcPr>
          <w:p>
            <w:pPr>
              <w:spacing w:after="0"/>
              <w:rPr>
                <w:sz w:val="5"/>
                <w:szCs w:val="5"/>
                <w:color w:val="auto"/>
              </w:rPr>
            </w:pPr>
          </w:p>
        </w:tc>
        <w:tc>
          <w:tcPr>
            <w:tcW w:w="18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460" w:type="dxa"/>
            <w:vAlign w:val="bottom"/>
            <w:shd w:val="clear" w:color="auto" w:fill="DBDBDB"/>
          </w:tcPr>
          <w:p>
            <w:pPr>
              <w:spacing w:after="0"/>
              <w:rPr>
                <w:sz w:val="5"/>
                <w:szCs w:val="5"/>
                <w:color w:val="auto"/>
              </w:rPr>
            </w:pPr>
          </w:p>
        </w:tc>
        <w:tc>
          <w:tcPr>
            <w:tcW w:w="1160" w:type="dxa"/>
            <w:vAlign w:val="bottom"/>
            <w:shd w:val="clear" w:color="auto" w:fill="DBDBDB"/>
          </w:tcPr>
          <w:p>
            <w:pPr>
              <w:spacing w:after="0"/>
              <w:rPr>
                <w:sz w:val="5"/>
                <w:szCs w:val="5"/>
                <w:color w:val="auto"/>
              </w:rPr>
            </w:pPr>
          </w:p>
        </w:tc>
      </w:tr>
      <w:tr>
        <w:trPr>
          <w:trHeight w:val="239"/>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r>
      <w:tr>
        <w:trPr>
          <w:trHeight w:val="235"/>
        </w:trPr>
        <w:tc>
          <w:tcPr>
            <w:tcW w:w="79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39,058</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43,210</w:t>
            </w:r>
          </w:p>
        </w:tc>
      </w:tr>
      <w:tr>
        <w:trPr>
          <w:trHeight w:val="251"/>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6,250</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6,250</w:t>
            </w:r>
          </w:p>
        </w:tc>
      </w:tr>
      <w:tr>
        <w:trPr>
          <w:trHeight w:val="235"/>
        </w:trPr>
        <w:tc>
          <w:tcPr>
            <w:tcW w:w="7900" w:type="dxa"/>
            <w:vAlign w:val="bottom"/>
          </w:tcPr>
          <w:p>
            <w:pPr>
              <w:ind w:left="140"/>
              <w:spacing w:after="0"/>
              <w:rPr>
                <w:sz w:val="20"/>
                <w:szCs w:val="20"/>
                <w:color w:val="auto"/>
              </w:rPr>
            </w:pPr>
            <w:r>
              <w:rPr>
                <w:rFonts w:ascii="Arial" w:cs="Arial" w:eastAsia="Arial" w:hAnsi="Arial"/>
                <w:sz w:val="16"/>
                <w:szCs w:val="16"/>
                <w:color w:val="auto"/>
              </w:rPr>
              <w:t>Current portion of Tax Receivable Agreement liability</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7,910</w:t>
            </w:r>
          </w:p>
        </w:tc>
      </w:tr>
      <w:tr>
        <w:trPr>
          <w:trHeight w:val="251"/>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Short-term debt</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104,000</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90,000</w:t>
            </w:r>
          </w:p>
        </w:tc>
      </w:tr>
      <w:tr>
        <w:trPr>
          <w:trHeight w:val="235"/>
        </w:trPr>
        <w:tc>
          <w:tcPr>
            <w:tcW w:w="790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7,472</w:t>
            </w:r>
          </w:p>
        </w:tc>
      </w:tr>
      <w:tr>
        <w:trPr>
          <w:trHeight w:val="251"/>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Short-term operating lease liabilities</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6,922</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6,878</w:t>
            </w:r>
          </w:p>
        </w:tc>
      </w:tr>
      <w:tr>
        <w:trPr>
          <w:trHeight w:val="236"/>
        </w:trPr>
        <w:tc>
          <w:tcPr>
            <w:tcW w:w="7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36,848</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32,236</w:t>
            </w:r>
          </w:p>
        </w:tc>
      </w:tr>
      <w:tr>
        <w:trPr>
          <w:trHeight w:val="243"/>
        </w:trPr>
        <w:tc>
          <w:tcPr>
            <w:tcW w:w="7900" w:type="dxa"/>
            <w:vAlign w:val="bottom"/>
            <w:shd w:val="clear" w:color="auto" w:fill="DBDBDB"/>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199,934</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193,956</w:t>
            </w:r>
          </w:p>
        </w:tc>
      </w:tr>
      <w:tr>
        <w:trPr>
          <w:trHeight w:val="235"/>
        </w:trPr>
        <w:tc>
          <w:tcPr>
            <w:tcW w:w="79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1"/>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236,585</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237,977</w:t>
            </w:r>
          </w:p>
        </w:tc>
      </w:tr>
      <w:tr>
        <w:trPr>
          <w:trHeight w:val="235"/>
        </w:trPr>
        <w:tc>
          <w:tcPr>
            <w:tcW w:w="7900" w:type="dxa"/>
            <w:vAlign w:val="bottom"/>
          </w:tcPr>
          <w:p>
            <w:pPr>
              <w:ind w:left="140"/>
              <w:spacing w:after="0"/>
              <w:rPr>
                <w:sz w:val="20"/>
                <w:szCs w:val="20"/>
                <w:color w:val="auto"/>
              </w:rPr>
            </w:pPr>
            <w:r>
              <w:rPr>
                <w:rFonts w:ascii="Arial" w:cs="Arial" w:eastAsia="Arial" w:hAnsi="Arial"/>
                <w:sz w:val="16"/>
                <w:szCs w:val="16"/>
                <w:color w:val="auto"/>
              </w:rPr>
              <w:t>Tax Receivable Agreement liability</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342,841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344,524</w:t>
            </w:r>
          </w:p>
        </w:tc>
      </w:tr>
      <w:tr>
        <w:trPr>
          <w:trHeight w:val="251"/>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334,827</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329,190</w:t>
            </w:r>
          </w:p>
        </w:tc>
      </w:tr>
      <w:tr>
        <w:trPr>
          <w:trHeight w:val="236"/>
        </w:trPr>
        <w:tc>
          <w:tcPr>
            <w:tcW w:w="7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3,394</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w:t>
            </w:r>
          </w:p>
        </w:tc>
      </w:tr>
      <w:tr>
        <w:trPr>
          <w:trHeight w:val="237"/>
        </w:trPr>
        <w:tc>
          <w:tcPr>
            <w:tcW w:w="790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shd w:val="clear" w:color="auto" w:fill="DBDBDB"/>
          </w:tcPr>
          <w:p>
            <w:pPr>
              <w:spacing w:after="0"/>
              <w:rPr>
                <w:sz w:val="20"/>
                <w:szCs w:val="20"/>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917,647</w:t>
            </w:r>
          </w:p>
        </w:tc>
        <w:tc>
          <w:tcPr>
            <w:tcW w:w="100" w:type="dxa"/>
            <w:vAlign w:val="bottom"/>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915,305</w:t>
            </w:r>
          </w:p>
        </w:tc>
      </w:tr>
      <w:tr>
        <w:trPr>
          <w:trHeight w:val="282"/>
        </w:trPr>
        <w:tc>
          <w:tcPr>
            <w:tcW w:w="79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1,117,581</w:t>
            </w:r>
          </w:p>
        </w:tc>
        <w:tc>
          <w:tcPr>
            <w:tcW w:w="100" w:type="dxa"/>
            <w:vAlign w:val="bottom"/>
            <w:tcBorders>
              <w:bottom w:val="single" w:sz="8" w:color="DBDBDB"/>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1,109,261</w:t>
            </w:r>
          </w:p>
        </w:tc>
      </w:tr>
      <w:tr>
        <w:trPr>
          <w:trHeight w:val="235"/>
        </w:trPr>
        <w:tc>
          <w:tcPr>
            <w:tcW w:w="790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COMMITMENTS AND CONTINGENCIES (NOTE 13)</w:t>
            </w:r>
          </w:p>
        </w:tc>
        <w:tc>
          <w:tcPr>
            <w:tcW w:w="180" w:type="dxa"/>
            <w:vAlign w:val="bottom"/>
            <w:tcBorders>
              <w:top w:val="single" w:sz="8" w:color="DBDBDB"/>
            </w:tcBorders>
          </w:tcPr>
          <w:p>
            <w:pPr>
              <w:spacing w:after="0"/>
              <w:rPr>
                <w:sz w:val="20"/>
                <w:szCs w:val="20"/>
                <w:color w:val="auto"/>
              </w:rPr>
            </w:pPr>
          </w:p>
        </w:tc>
        <w:tc>
          <w:tcPr>
            <w:tcW w:w="1440" w:type="dxa"/>
            <w:vAlign w:val="bottom"/>
            <w:tcBorders>
              <w:top w:val="single" w:sz="8" w:color="DBDBDB"/>
            </w:tcBorders>
          </w:tcPr>
          <w:p>
            <w:pPr>
              <w:spacing w:after="0"/>
              <w:rPr>
                <w:sz w:val="20"/>
                <w:szCs w:val="20"/>
                <w:color w:val="auto"/>
              </w:rPr>
            </w:pPr>
          </w:p>
        </w:tc>
        <w:tc>
          <w:tcPr>
            <w:tcW w:w="100" w:type="dxa"/>
            <w:vAlign w:val="bottom"/>
            <w:tcBorders>
              <w:top w:val="single" w:sz="8" w:color="DBDBDB"/>
            </w:tcBorders>
          </w:tcPr>
          <w:p>
            <w:pPr>
              <w:spacing w:after="0"/>
              <w:rPr>
                <w:sz w:val="20"/>
                <w:szCs w:val="20"/>
                <w:color w:val="auto"/>
              </w:rPr>
            </w:pPr>
          </w:p>
        </w:tc>
        <w:tc>
          <w:tcPr>
            <w:tcW w:w="460" w:type="dxa"/>
            <w:vAlign w:val="bottom"/>
            <w:tcBorders>
              <w:top w:val="single" w:sz="8" w:color="DBDBDB"/>
            </w:tcBorders>
          </w:tcPr>
          <w:p>
            <w:pPr>
              <w:spacing w:after="0"/>
              <w:rPr>
                <w:sz w:val="20"/>
                <w:szCs w:val="20"/>
                <w:color w:val="auto"/>
              </w:rPr>
            </w:pPr>
          </w:p>
        </w:tc>
        <w:tc>
          <w:tcPr>
            <w:tcW w:w="1160" w:type="dxa"/>
            <w:vAlign w:val="bottom"/>
            <w:tcBorders>
              <w:top w:val="single" w:sz="8" w:color="DBDBDB"/>
            </w:tcBorders>
          </w:tcPr>
          <w:p>
            <w:pPr>
              <w:spacing w:after="0"/>
              <w:rPr>
                <w:sz w:val="20"/>
                <w:szCs w:val="20"/>
                <w:color w:val="auto"/>
              </w:rPr>
            </w:pPr>
          </w:p>
        </w:tc>
      </w:tr>
      <w:tr>
        <w:trPr>
          <w:trHeight w:val="251"/>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r>
      <w:tr>
        <w:trPr>
          <w:trHeight w:val="235"/>
        </w:trPr>
        <w:tc>
          <w:tcPr>
            <w:tcW w:w="7900" w:type="dxa"/>
            <w:vAlign w:val="bottom"/>
          </w:tcPr>
          <w:p>
            <w:pPr>
              <w:ind w:left="140"/>
              <w:spacing w:after="0"/>
              <w:rPr>
                <w:sz w:val="20"/>
                <w:szCs w:val="20"/>
                <w:color w:val="auto"/>
              </w:rPr>
            </w:pPr>
            <w:r>
              <w:rPr>
                <w:rFonts w:ascii="Arial" w:cs="Arial" w:eastAsia="Arial" w:hAnsi="Arial"/>
                <w:sz w:val="16"/>
                <w:szCs w:val="16"/>
                <w:color w:val="auto"/>
              </w:rPr>
              <w:t>Preferred stock, $0.01 par value per share, 10,000,000 shares authorized, none issued or outstanding</w:t>
            </w:r>
          </w:p>
        </w:tc>
        <w:tc>
          <w:tcPr>
            <w:tcW w:w="18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Class A common stock, $0.01 par value per share, 380,000,000 shares authorized, and 72,159,742 and</w:t>
            </w:r>
          </w:p>
        </w:tc>
        <w:tc>
          <w:tcPr>
            <w:tcW w:w="18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r>
      <w:tr>
        <w:trPr>
          <w:trHeight w:val="230"/>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71,971,736 shares issued and outstanding at March 29, 2026 and December 28, 2025 , respectively.</w:t>
            </w:r>
          </w:p>
        </w:tc>
        <w:tc>
          <w:tcPr>
            <w:tcW w:w="18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722</w:t>
            </w: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w:t>
            </w:r>
          </w:p>
        </w:tc>
      </w:tr>
      <w:tr>
        <w:trPr>
          <w:trHeight w:val="215"/>
        </w:trPr>
        <w:tc>
          <w:tcPr>
            <w:tcW w:w="7900" w:type="dxa"/>
            <w:vAlign w:val="bottom"/>
          </w:tcPr>
          <w:p>
            <w:pPr>
              <w:ind w:left="140"/>
              <w:spacing w:after="0"/>
              <w:rPr>
                <w:sz w:val="20"/>
                <w:szCs w:val="20"/>
                <w:color w:val="auto"/>
              </w:rPr>
            </w:pPr>
            <w:r>
              <w:rPr>
                <w:rFonts w:ascii="Arial" w:cs="Arial" w:eastAsia="Arial" w:hAnsi="Arial"/>
                <w:sz w:val="16"/>
                <w:szCs w:val="16"/>
                <w:color w:val="auto"/>
              </w:rPr>
              <w:t>Class B common stock, $0.00001 par value per share, 50,000,000 shares authorized, and 3,424,546 and</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7900" w:type="dxa"/>
            <w:vAlign w:val="bottom"/>
          </w:tcPr>
          <w:p>
            <w:pPr>
              <w:ind w:left="140"/>
              <w:spacing w:after="0"/>
              <w:rPr>
                <w:sz w:val="20"/>
                <w:szCs w:val="20"/>
                <w:color w:val="auto"/>
              </w:rPr>
            </w:pPr>
            <w:r>
              <w:rPr>
                <w:rFonts w:ascii="Arial" w:cs="Arial" w:eastAsia="Arial" w:hAnsi="Arial"/>
                <w:sz w:val="16"/>
                <w:szCs w:val="16"/>
                <w:color w:val="auto"/>
              </w:rPr>
              <w:t>3,442,335 shares issued and outstanding at March 29, 2026 and December 28, 2025, respectively.</w:t>
            </w: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Additional paid-in-capital</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408,161</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404,603</w:t>
            </w:r>
          </w:p>
        </w:tc>
      </w:tr>
      <w:tr>
        <w:trPr>
          <w:trHeight w:val="236"/>
        </w:trPr>
        <w:tc>
          <w:tcPr>
            <w:tcW w:w="7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62,072</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62,474</w:t>
            </w:r>
          </w:p>
        </w:tc>
      </w:tr>
      <w:tr>
        <w:trPr>
          <w:trHeight w:val="243"/>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Total stockholders' equity attributable to Portillo's Inc.</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470,955</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467,797</w:t>
            </w:r>
          </w:p>
        </w:tc>
      </w:tr>
      <w:tr>
        <w:trPr>
          <w:trHeight w:val="237"/>
        </w:trPr>
        <w:tc>
          <w:tcPr>
            <w:tcW w:w="7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29,300</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29,476</w:t>
            </w:r>
          </w:p>
        </w:tc>
      </w:tr>
      <w:tr>
        <w:trPr>
          <w:trHeight w:val="236"/>
        </w:trPr>
        <w:tc>
          <w:tcPr>
            <w:tcW w:w="790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DBDBDB"/>
          </w:tcPr>
          <w:p>
            <w:pPr>
              <w:spacing w:after="0"/>
              <w:rPr>
                <w:sz w:val="20"/>
                <w:szCs w:val="20"/>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500,255</w:t>
            </w:r>
          </w:p>
        </w:tc>
        <w:tc>
          <w:tcPr>
            <w:tcW w:w="100" w:type="dxa"/>
            <w:vAlign w:val="bottom"/>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497,273</w:t>
            </w:r>
          </w:p>
        </w:tc>
      </w:tr>
      <w:tr>
        <w:trPr>
          <w:trHeight w:val="239"/>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1,617,836</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1,606,534</w:t>
            </w:r>
          </w:p>
        </w:tc>
      </w:tr>
      <w:tr>
        <w:trPr>
          <w:trHeight w:val="24"/>
        </w:trPr>
        <w:tc>
          <w:tcPr>
            <w:tcW w:w="7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22" w:right="339" w:bottom="1440" w:gutter="0" w:footer="0" w:header="0"/>
        </w:sectPr>
      </w:pPr>
    </w:p>
    <w:p>
      <w:pPr>
        <w:ind w:left="87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PORTILLO'S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gridSpan w:val="4"/>
          </w:tcPr>
          <w:p>
            <w:pPr>
              <w:jc w:val="right"/>
              <w:ind w:right="149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6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29, 2026</w:t>
            </w:r>
          </w:p>
        </w:tc>
        <w:tc>
          <w:tcPr>
            <w:tcW w:w="300" w:type="dxa"/>
            <w:vAlign w:val="bottom"/>
          </w:tcPr>
          <w:p>
            <w:pPr>
              <w:spacing w:after="0"/>
              <w:rPr>
                <w:sz w:val="21"/>
                <w:szCs w:val="21"/>
                <w:color w:val="auto"/>
              </w:rPr>
            </w:pPr>
          </w:p>
        </w:tc>
        <w:tc>
          <w:tcPr>
            <w:tcW w:w="180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30, 2025</w:t>
            </w:r>
          </w:p>
        </w:tc>
      </w:tr>
      <w:tr>
        <w:trPr>
          <w:trHeight w:val="254"/>
        </w:trPr>
        <w:tc>
          <w:tcPr>
            <w:tcW w:w="6980" w:type="dxa"/>
            <w:vAlign w:val="bottom"/>
            <w:tcBorders>
              <w:top w:val="single" w:sz="8" w:color="DBDBDB"/>
            </w:tcBorders>
            <w:shd w:val="clear" w:color="auto" w:fill="DBDBDB"/>
          </w:tcPr>
          <w:p>
            <w:pPr>
              <w:spacing w:after="0"/>
              <w:rPr>
                <w:sz w:val="22"/>
                <w:szCs w:val="22"/>
                <w:color w:val="auto"/>
              </w:rPr>
            </w:pPr>
          </w:p>
        </w:tc>
        <w:tc>
          <w:tcPr>
            <w:tcW w:w="280" w:type="dxa"/>
            <w:vAlign w:val="bottom"/>
            <w:tcBorders>
              <w:top w:val="single" w:sz="8" w:color="auto"/>
            </w:tcBorders>
            <w:shd w:val="clear" w:color="auto" w:fill="DBDBDB"/>
          </w:tcPr>
          <w:p>
            <w:pPr>
              <w:spacing w:after="0"/>
              <w:rPr>
                <w:sz w:val="22"/>
                <w:szCs w:val="22"/>
                <w:color w:val="auto"/>
              </w:rPr>
            </w:pPr>
          </w:p>
        </w:tc>
        <w:tc>
          <w:tcPr>
            <w:tcW w:w="180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300" w:type="dxa"/>
            <w:vAlign w:val="bottom"/>
            <w:tcBorders>
              <w:top w:val="single" w:sz="8" w:color="auto"/>
            </w:tcBorders>
            <w:shd w:val="clear" w:color="auto" w:fill="DBDBDB"/>
          </w:tcPr>
          <w:p>
            <w:pPr>
              <w:spacing w:after="0"/>
              <w:rPr>
                <w:sz w:val="22"/>
                <w:szCs w:val="22"/>
                <w:color w:val="auto"/>
              </w:rPr>
            </w:pPr>
          </w:p>
        </w:tc>
        <w:tc>
          <w:tcPr>
            <w:tcW w:w="1800" w:type="dxa"/>
            <w:vAlign w:val="bottom"/>
            <w:tcBorders>
              <w:top w:val="single" w:sz="8" w:color="auto"/>
            </w:tcBorders>
            <w:shd w:val="clear" w:color="auto" w:fill="DBDBDB"/>
          </w:tcPr>
          <w:p>
            <w:pPr>
              <w:spacing w:after="0"/>
              <w:rPr>
                <w:sz w:val="22"/>
                <w:szCs w:val="22"/>
                <w:color w:val="auto"/>
              </w:rPr>
            </w:pPr>
          </w:p>
        </w:tc>
      </w:tr>
      <w:tr>
        <w:trPr>
          <w:trHeight w:val="239"/>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REVENUES, NET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182,623</w:t>
            </w:r>
          </w:p>
        </w:tc>
        <w:tc>
          <w:tcPr>
            <w:tcW w:w="8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176,437</w:t>
            </w:r>
          </w:p>
        </w:tc>
      </w:tr>
      <w:tr>
        <w:trPr>
          <w:trHeight w:val="274"/>
        </w:trPr>
        <w:tc>
          <w:tcPr>
            <w:tcW w:w="698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180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1800" w:type="dxa"/>
            <w:vAlign w:val="bottom"/>
            <w:shd w:val="clear" w:color="auto" w:fill="DBDBDB"/>
          </w:tcPr>
          <w:p>
            <w:pPr>
              <w:spacing w:after="0"/>
              <w:rPr>
                <w:sz w:val="23"/>
                <w:szCs w:val="23"/>
                <w:color w:val="auto"/>
              </w:rPr>
            </w:pPr>
          </w:p>
        </w:tc>
      </w:tr>
      <w:tr>
        <w:trPr>
          <w:trHeight w:val="239"/>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COST AND EXPENSES:</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7"/>
        </w:trPr>
        <w:tc>
          <w:tcPr>
            <w:tcW w:w="69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Restaurant operating expenses:</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spacing w:after="0"/>
              <w:rPr>
                <w:sz w:val="21"/>
                <w:szCs w:val="21"/>
                <w:color w:val="auto"/>
              </w:rPr>
            </w:pPr>
          </w:p>
        </w:tc>
      </w:tr>
      <w:tr>
        <w:trPr>
          <w:trHeight w:val="235"/>
        </w:trPr>
        <w:tc>
          <w:tcPr>
            <w:tcW w:w="6980" w:type="dxa"/>
            <w:vAlign w:val="bottom"/>
          </w:tcPr>
          <w:p>
            <w:pPr>
              <w:ind w:left="220"/>
              <w:spacing w:after="0"/>
              <w:rPr>
                <w:sz w:val="20"/>
                <w:szCs w:val="20"/>
                <w:color w:val="auto"/>
              </w:rPr>
            </w:pPr>
            <w:r>
              <w:rPr>
                <w:rFonts w:ascii="Arial" w:cs="Arial" w:eastAsia="Arial" w:hAnsi="Arial"/>
                <w:sz w:val="16"/>
                <w:szCs w:val="16"/>
                <w:color w:val="auto"/>
              </w:rPr>
              <w:t>Food, beverage and packaging costs</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63,285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61,102</w:t>
            </w:r>
          </w:p>
        </w:tc>
      </w:tr>
      <w:tr>
        <w:trPr>
          <w:trHeight w:val="251"/>
        </w:trPr>
        <w:tc>
          <w:tcPr>
            <w:tcW w:w="6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Labor</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49,195</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46,868</w:t>
            </w:r>
          </w:p>
        </w:tc>
      </w:tr>
      <w:tr>
        <w:trPr>
          <w:trHeight w:val="235"/>
        </w:trPr>
        <w:tc>
          <w:tcPr>
            <w:tcW w:w="6980" w:type="dxa"/>
            <w:vAlign w:val="bottom"/>
          </w:tcPr>
          <w:p>
            <w:pPr>
              <w:ind w:left="220"/>
              <w:spacing w:after="0"/>
              <w:rPr>
                <w:sz w:val="20"/>
                <w:szCs w:val="20"/>
                <w:color w:val="auto"/>
              </w:rPr>
            </w:pPr>
            <w:r>
              <w:rPr>
                <w:rFonts w:ascii="Arial" w:cs="Arial" w:eastAsia="Arial" w:hAnsi="Arial"/>
                <w:sz w:val="16"/>
                <w:szCs w:val="16"/>
                <w:color w:val="auto"/>
              </w:rPr>
              <w:t>Occupancy</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11,184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10,021</w:t>
            </w:r>
          </w:p>
        </w:tc>
      </w:tr>
      <w:tr>
        <w:trPr>
          <w:trHeight w:val="244"/>
        </w:trPr>
        <w:tc>
          <w:tcPr>
            <w:tcW w:w="698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 operating expenses</w:t>
            </w:r>
          </w:p>
        </w:tc>
        <w:tc>
          <w:tcPr>
            <w:tcW w:w="28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24,115</w:t>
            </w:r>
          </w:p>
        </w:tc>
        <w:tc>
          <w:tcPr>
            <w:tcW w:w="8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21,790</w:t>
            </w:r>
          </w:p>
        </w:tc>
      </w:tr>
      <w:tr>
        <w:trPr>
          <w:trHeight w:val="239"/>
        </w:trPr>
        <w:tc>
          <w:tcPr>
            <w:tcW w:w="6980" w:type="dxa"/>
            <w:vAlign w:val="bottom"/>
          </w:tcPr>
          <w:p>
            <w:pPr>
              <w:ind w:left="480"/>
              <w:spacing w:after="0"/>
              <w:rPr>
                <w:sz w:val="20"/>
                <w:szCs w:val="20"/>
                <w:color w:val="auto"/>
              </w:rPr>
            </w:pPr>
            <w:r>
              <w:rPr>
                <w:rFonts w:ascii="Arial" w:cs="Arial" w:eastAsia="Arial" w:hAnsi="Arial"/>
                <w:sz w:val="16"/>
                <w:szCs w:val="16"/>
                <w:b w:val="1"/>
                <w:bCs w:val="1"/>
                <w:color w:val="auto"/>
              </w:rPr>
              <w:t>Total restaurant operating expenses</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147,779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139,781</w:t>
            </w:r>
          </w:p>
        </w:tc>
      </w:tr>
      <w:tr>
        <w:trPr>
          <w:trHeight w:val="152"/>
        </w:trPr>
        <w:tc>
          <w:tcPr>
            <w:tcW w:w="69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8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800" w:type="dxa"/>
            <w:vAlign w:val="bottom"/>
            <w:shd w:val="clear" w:color="auto" w:fill="DBDBDB"/>
          </w:tcPr>
          <w:p>
            <w:pPr>
              <w:spacing w:after="0"/>
              <w:rPr>
                <w:sz w:val="13"/>
                <w:szCs w:val="13"/>
                <w:color w:val="auto"/>
              </w:rPr>
            </w:pPr>
          </w:p>
        </w:tc>
      </w:tr>
      <w:tr>
        <w:trPr>
          <w:trHeight w:val="235"/>
        </w:trPr>
        <w:tc>
          <w:tcPr>
            <w:tcW w:w="6980" w:type="dxa"/>
            <w:vAlign w:val="bottom"/>
          </w:tcPr>
          <w:p>
            <w:pPr>
              <w:ind w:left="22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20,359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18,903</w:t>
            </w:r>
          </w:p>
        </w:tc>
      </w:tr>
      <w:tr>
        <w:trPr>
          <w:trHeight w:val="251"/>
        </w:trPr>
        <w:tc>
          <w:tcPr>
            <w:tcW w:w="6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Pre-opening expenses</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2,550</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508</w:t>
            </w:r>
          </w:p>
        </w:tc>
      </w:tr>
      <w:tr>
        <w:trPr>
          <w:trHeight w:val="235"/>
        </w:trPr>
        <w:tc>
          <w:tcPr>
            <w:tcW w:w="6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7,936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7,040</w:t>
            </w:r>
          </w:p>
        </w:tc>
      </w:tr>
      <w:tr>
        <w:trPr>
          <w:trHeight w:val="251"/>
        </w:trPr>
        <w:tc>
          <w:tcPr>
            <w:tcW w:w="6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w:t>
            </w:r>
          </w:p>
        </w:tc>
      </w:tr>
      <w:tr>
        <w:trPr>
          <w:trHeight w:val="236"/>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8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6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4,492</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10,381</w:t>
            </w:r>
          </w:p>
        </w:tc>
      </w:tr>
      <w:tr>
        <w:trPr>
          <w:trHeight w:val="235"/>
        </w:trPr>
        <w:tc>
          <w:tcPr>
            <w:tcW w:w="69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5,627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5,749</w:t>
            </w:r>
          </w:p>
        </w:tc>
      </w:tr>
      <w:tr>
        <w:trPr>
          <w:trHeight w:val="251"/>
        </w:trPr>
        <w:tc>
          <w:tcPr>
            <w:tcW w:w="6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Tax Receivable Agreement liability adjustment</w:t>
            </w: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8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r>
      <w:tr>
        <w:trPr>
          <w:trHeight w:val="243"/>
        </w:trPr>
        <w:tc>
          <w:tcPr>
            <w:tcW w:w="6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(673)</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5,350</w:t>
            </w:r>
          </w:p>
        </w:tc>
      </w:tr>
      <w:tr>
        <w:trPr>
          <w:trHeight w:val="236"/>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tax (benefit) expense</w:t>
            </w: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8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w:t>
            </w:r>
          </w:p>
        </w:tc>
      </w:tr>
      <w:tr>
        <w:trPr>
          <w:trHeight w:val="243"/>
        </w:trPr>
        <w:tc>
          <w:tcPr>
            <w:tcW w:w="6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(LOSS) INCOME</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(509)</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3,990</w:t>
            </w:r>
          </w:p>
        </w:tc>
      </w:tr>
      <w:tr>
        <w:trPr>
          <w:trHeight w:val="236"/>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r>
      <w:tr>
        <w:trPr>
          <w:trHeight w:val="264"/>
        </w:trPr>
        <w:tc>
          <w:tcPr>
            <w:tcW w:w="69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(LOSS) INCOME ATTRIBUTABLE TO PORTILLO'S INC.</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(402)</w:t>
            </w:r>
          </w:p>
        </w:tc>
        <w:tc>
          <w:tcPr>
            <w:tcW w:w="8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3,313</w:t>
            </w:r>
          </w:p>
        </w:tc>
      </w:tr>
      <w:tr>
        <w:trPr>
          <w:trHeight w:val="20"/>
        </w:trPr>
        <w:tc>
          <w:tcPr>
            <w:tcW w:w="698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r>
        <w:trPr>
          <w:trHeight w:val="221"/>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3"/>
        </w:trPr>
        <w:tc>
          <w:tcPr>
            <w:tcW w:w="6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income per common share attributable to Portillo's Inc.:</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spacing w:after="0"/>
              <w:rPr>
                <w:sz w:val="21"/>
                <w:szCs w:val="2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698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62"/>
        </w:trPr>
        <w:tc>
          <w:tcPr>
            <w:tcW w:w="6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(0.01)</w:t>
            </w:r>
          </w:p>
        </w:tc>
        <w:tc>
          <w:tcPr>
            <w:tcW w:w="8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69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43"/>
        </w:trPr>
        <w:tc>
          <w:tcPr>
            <w:tcW w:w="6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280" w:type="dxa"/>
            <w:vAlign w:val="bottom"/>
            <w:shd w:val="clear" w:color="auto" w:fill="DBDBDB"/>
          </w:tcPr>
          <w:p>
            <w:pPr>
              <w:spacing w:after="0"/>
              <w:rPr>
                <w:sz w:val="21"/>
                <w:szCs w:val="21"/>
                <w:color w:val="auto"/>
              </w:rPr>
            </w:pPr>
          </w:p>
        </w:tc>
        <w:tc>
          <w:tcPr>
            <w:tcW w:w="18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00" w:type="dxa"/>
            <w:vAlign w:val="bottom"/>
            <w:shd w:val="clear" w:color="auto" w:fill="DBDBDB"/>
          </w:tcPr>
          <w:p>
            <w:pPr>
              <w:spacing w:after="0"/>
              <w:rPr>
                <w:sz w:val="21"/>
                <w:szCs w:val="2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72,076,398</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63,837,940</w:t>
            </w:r>
          </w:p>
        </w:tc>
      </w:tr>
      <w:tr>
        <w:trPr>
          <w:trHeight w:val="20"/>
        </w:trPr>
        <w:tc>
          <w:tcPr>
            <w:tcW w:w="698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62"/>
        </w:trPr>
        <w:tc>
          <w:tcPr>
            <w:tcW w:w="6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DBDBDB"/>
          </w:tcPr>
          <w:p>
            <w:pPr>
              <w:spacing w:after="0"/>
              <w:rPr>
                <w:sz w:val="22"/>
                <w:szCs w:val="22"/>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72,076,398</w:t>
            </w:r>
          </w:p>
        </w:tc>
        <w:tc>
          <w:tcPr>
            <w:tcW w:w="8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spacing w:after="0"/>
              <w:rPr>
                <w:sz w:val="22"/>
                <w:szCs w:val="22"/>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66,468,491</w:t>
            </w:r>
          </w:p>
        </w:tc>
      </w:tr>
      <w:tr>
        <w:trPr>
          <w:trHeight w:val="20"/>
        </w:trPr>
        <w:tc>
          <w:tcPr>
            <w:tcW w:w="69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PORTILLO'S INC</w:t>
      </w:r>
    </w:p>
    <w:p>
      <w:pPr>
        <w:spacing w:after="0" w:line="26" w:lineRule="exact"/>
        <w:rPr>
          <w:sz w:val="20"/>
          <w:szCs w:val="20"/>
          <w:color w:val="auto"/>
        </w:rPr>
      </w:pPr>
    </w:p>
    <w:p>
      <w:pPr>
        <w:ind w:right="4740"/>
        <w:spacing w:after="0" w:line="252" w:lineRule="auto"/>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60" w:type="dxa"/>
            <w:vAlign w:val="bottom"/>
            <w:tcBorders>
              <w:bottom w:val="single" w:sz="8" w:color="auto"/>
            </w:tcBorders>
            <w:gridSpan w:val="19"/>
          </w:tcPr>
          <w:p>
            <w:pPr>
              <w:spacing w:after="0"/>
              <w:rPr>
                <w:sz w:val="20"/>
                <w:szCs w:val="20"/>
                <w:color w:val="auto"/>
              </w:rPr>
            </w:pPr>
            <w:r>
              <w:rPr>
                <w:rFonts w:ascii="Arial" w:cs="Arial" w:eastAsia="Arial" w:hAnsi="Arial"/>
                <w:sz w:val="16"/>
                <w:szCs w:val="16"/>
                <w:b w:val="1"/>
                <w:bCs w:val="1"/>
                <w:color w:val="auto"/>
              </w:rPr>
              <w:t>Quarter Ended March 29, 2026 and March 30, 2025</w:t>
            </w:r>
          </w:p>
        </w:tc>
        <w:tc>
          <w:tcPr>
            <w:tcW w:w="62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3"/>
        </w:trPr>
        <w:tc>
          <w:tcPr>
            <w:tcW w:w="3340" w:type="dxa"/>
            <w:vAlign w:val="bottom"/>
          </w:tcPr>
          <w:p>
            <w:pPr>
              <w:spacing w:after="0"/>
              <w:rPr>
                <w:sz w:val="19"/>
                <w:szCs w:val="19"/>
                <w:color w:val="auto"/>
              </w:rPr>
            </w:pPr>
          </w:p>
        </w:tc>
        <w:tc>
          <w:tcPr>
            <w:tcW w:w="1960" w:type="dxa"/>
            <w:vAlign w:val="bottom"/>
            <w:gridSpan w:val="10"/>
          </w:tcPr>
          <w:p>
            <w:pPr>
              <w:jc w:val="center"/>
              <w:ind w:right="20"/>
              <w:spacing w:after="0"/>
              <w:rPr>
                <w:sz w:val="20"/>
                <w:szCs w:val="20"/>
                <w:color w:val="auto"/>
              </w:rPr>
            </w:pPr>
            <w:r>
              <w:rPr>
                <w:rFonts w:ascii="Arial" w:cs="Arial" w:eastAsia="Arial" w:hAnsi="Arial"/>
                <w:sz w:val="16"/>
                <w:szCs w:val="16"/>
                <w:b w:val="1"/>
                <w:bCs w:val="1"/>
                <w:color w:val="auto"/>
              </w:rPr>
              <w:t>Class A Common</w:t>
            </w:r>
          </w:p>
        </w:tc>
        <w:tc>
          <w:tcPr>
            <w:tcW w:w="240" w:type="dxa"/>
            <w:vAlign w:val="bottom"/>
          </w:tcPr>
          <w:p>
            <w:pPr>
              <w:spacing w:after="0"/>
              <w:rPr>
                <w:sz w:val="19"/>
                <w:szCs w:val="19"/>
                <w:color w:val="auto"/>
              </w:rPr>
            </w:pPr>
          </w:p>
        </w:tc>
        <w:tc>
          <w:tcPr>
            <w:tcW w:w="166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rPr>
              <w:t>Class B Common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69"/>
        </w:trPr>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6"/>
          </w:tcPr>
          <w:p>
            <w:pPr>
              <w:jc w:val="center"/>
              <w:spacing w:after="0" w:line="169" w:lineRule="exact"/>
              <w:rPr>
                <w:sz w:val="20"/>
                <w:szCs w:val="20"/>
                <w:color w:val="auto"/>
              </w:rPr>
            </w:pPr>
            <w:r>
              <w:rPr>
                <w:rFonts w:ascii="Arial" w:cs="Arial" w:eastAsia="Arial" w:hAnsi="Arial"/>
                <w:sz w:val="16"/>
                <w:szCs w:val="16"/>
                <w:b w:val="1"/>
                <w:bCs w:val="1"/>
                <w:color w:val="auto"/>
              </w:rPr>
              <w:t>Stock</w:t>
            </w:r>
          </w:p>
        </w:tc>
        <w:tc>
          <w:tcPr>
            <w:tcW w:w="3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5"/>
          </w:tcPr>
          <w:p>
            <w:pPr>
              <w:jc w:val="center"/>
              <w:ind w:right="370"/>
              <w:spacing w:after="0" w:line="169" w:lineRule="exact"/>
              <w:rPr>
                <w:sz w:val="20"/>
                <w:szCs w:val="20"/>
                <w:color w:val="auto"/>
              </w:rPr>
            </w:pPr>
            <w:r>
              <w:rPr>
                <w:rFonts w:ascii="Arial" w:cs="Arial" w:eastAsia="Arial" w:hAnsi="Arial"/>
                <w:sz w:val="16"/>
                <w:szCs w:val="16"/>
                <w:b w:val="1"/>
                <w:bCs w:val="1"/>
                <w:color w:val="auto"/>
              </w:rPr>
              <w:t>Stock</w:t>
            </w:r>
          </w:p>
        </w:tc>
        <w:tc>
          <w:tcPr>
            <w:tcW w:w="32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9"/>
        </w:trPr>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Additional</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21"/>
                <w:szCs w:val="21"/>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89"/>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Paid-in</w:t>
            </w:r>
          </w:p>
        </w:tc>
        <w:tc>
          <w:tcPr>
            <w:tcW w:w="940" w:type="dxa"/>
            <w:vAlign w:val="bottom"/>
            <w:gridSpan w:val="3"/>
          </w:tcPr>
          <w:p>
            <w:pPr>
              <w:ind w:left="80"/>
              <w:spacing w:after="0"/>
              <w:rPr>
                <w:sz w:val="20"/>
                <w:szCs w:val="20"/>
                <w:color w:val="auto"/>
              </w:rPr>
            </w:pPr>
            <w:r>
              <w:rPr>
                <w:rFonts w:ascii="Arial" w:cs="Arial" w:eastAsia="Arial" w:hAnsi="Arial"/>
                <w:sz w:val="16"/>
                <w:szCs w:val="16"/>
                <w:b w:val="1"/>
                <w:bCs w:val="1"/>
                <w:color w:val="auto"/>
              </w:rPr>
              <w:t>Retained</w:t>
            </w: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w:t>
            </w:r>
          </w:p>
        </w:tc>
      </w:tr>
      <w:tr>
        <w:trPr>
          <w:trHeight w:val="240"/>
        </w:trPr>
        <w:tc>
          <w:tcPr>
            <w:tcW w:w="3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Borders>
              <w:bottom w:val="single" w:sz="8" w:color="DBDBDB"/>
            </w:tcBorders>
          </w:tcPr>
          <w:p>
            <w:pPr>
              <w:spacing w:after="0"/>
              <w:rPr>
                <w:sz w:val="20"/>
                <w:szCs w:val="20"/>
                <w:color w:val="auto"/>
              </w:rPr>
            </w:pPr>
          </w:p>
        </w:tc>
        <w:tc>
          <w:tcPr>
            <w:tcW w:w="8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DBDBDB"/>
            </w:tcBorders>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Interest</w:t>
            </w: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Equity</w:t>
            </w:r>
          </w:p>
        </w:tc>
      </w:tr>
      <w:tr>
        <w:trPr>
          <w:trHeight w:val="240"/>
        </w:trPr>
        <w:tc>
          <w:tcPr>
            <w:tcW w:w="33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December 29, 2024</w:t>
            </w:r>
          </w:p>
        </w:tc>
        <w:tc>
          <w:tcPr>
            <w:tcW w:w="940" w:type="dxa"/>
            <w:vAlign w:val="bottom"/>
            <w:gridSpan w:val="4"/>
            <w:shd w:val="clear" w:color="auto" w:fill="DBDBDB"/>
          </w:tcPr>
          <w:p>
            <w:pPr>
              <w:jc w:val="right"/>
              <w:ind w:right="60"/>
              <w:spacing w:after="0"/>
              <w:rPr>
                <w:sz w:val="20"/>
                <w:szCs w:val="20"/>
                <w:color w:val="auto"/>
              </w:rPr>
            </w:pPr>
            <w:r>
              <w:rPr>
                <w:rFonts w:ascii="Arial" w:cs="Arial" w:eastAsia="Arial" w:hAnsi="Arial"/>
                <w:sz w:val="16"/>
                <w:szCs w:val="16"/>
                <w:color w:val="auto"/>
              </w:rPr>
              <w:t>63,674,579</w:t>
            </w: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637</w:t>
            </w:r>
          </w:p>
        </w:tc>
        <w:tc>
          <w:tcPr>
            <w:tcW w:w="80" w:type="dxa"/>
            <w:vAlign w:val="bottom"/>
            <w:shd w:val="clear" w:color="auto" w:fill="DBDBDB"/>
          </w:tcPr>
          <w:p>
            <w:pPr>
              <w:spacing w:after="0"/>
              <w:rPr>
                <w:sz w:val="20"/>
                <w:szCs w:val="20"/>
                <w:color w:val="auto"/>
              </w:rPr>
            </w:pP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10,732,800</w:t>
            </w: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357,295</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43,129</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89,042</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490,103</w:t>
            </w:r>
          </w:p>
        </w:tc>
      </w:tr>
      <w:tr>
        <w:trPr>
          <w:trHeight w:val="235"/>
        </w:trPr>
        <w:tc>
          <w:tcPr>
            <w:tcW w:w="33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3,990</w:t>
            </w:r>
          </w:p>
        </w:tc>
      </w:tr>
      <w:tr>
        <w:trPr>
          <w:trHeight w:val="251"/>
        </w:trPr>
        <w:tc>
          <w:tcPr>
            <w:tcW w:w="33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Equity-based compensation</w:t>
            </w:r>
          </w:p>
        </w:tc>
        <w:tc>
          <w:tcPr>
            <w:tcW w:w="3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68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DBDBDB"/>
          </w:tcPr>
          <w:p>
            <w:pPr>
              <w:spacing w:after="0"/>
              <w:rPr>
                <w:sz w:val="21"/>
                <w:szCs w:val="21"/>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1,669</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281</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1,950</w:t>
            </w:r>
          </w:p>
        </w:tc>
      </w:tr>
      <w:tr>
        <w:trPr>
          <w:trHeight w:val="202"/>
        </w:trPr>
        <w:tc>
          <w:tcPr>
            <w:tcW w:w="3340" w:type="dxa"/>
            <w:vAlign w:val="bottom"/>
          </w:tcPr>
          <w:p>
            <w:pPr>
              <w:ind w:left="120"/>
              <w:spacing w:after="0"/>
              <w:rPr>
                <w:sz w:val="20"/>
                <w:szCs w:val="20"/>
                <w:color w:val="auto"/>
              </w:rPr>
            </w:pPr>
            <w:r>
              <w:rPr>
                <w:rFonts w:ascii="Arial" w:cs="Arial" w:eastAsia="Arial" w:hAnsi="Arial"/>
                <w:sz w:val="16"/>
                <w:szCs w:val="16"/>
                <w:color w:val="auto"/>
              </w:rPr>
              <w:t>Activity under equity-based compensation</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3340" w:type="dxa"/>
            <w:vAlign w:val="bottom"/>
          </w:tcPr>
          <w:p>
            <w:pPr>
              <w:ind w:left="120"/>
              <w:spacing w:after="0"/>
              <w:rPr>
                <w:sz w:val="20"/>
                <w:szCs w:val="20"/>
                <w:color w:val="auto"/>
              </w:rPr>
            </w:pPr>
            <w:r>
              <w:rPr>
                <w:rFonts w:ascii="Arial" w:cs="Arial" w:eastAsia="Arial" w:hAnsi="Arial"/>
                <w:sz w:val="16"/>
                <w:szCs w:val="16"/>
                <w:color w:val="auto"/>
              </w:rPr>
              <w:t>plans</w:t>
            </w:r>
          </w:p>
        </w:tc>
        <w:tc>
          <w:tcPr>
            <w:tcW w:w="940" w:type="dxa"/>
            <w:vAlign w:val="bottom"/>
            <w:gridSpan w:val="4"/>
          </w:tcPr>
          <w:p>
            <w:pPr>
              <w:jc w:val="right"/>
              <w:ind w:right="80"/>
              <w:spacing w:after="0"/>
              <w:rPr>
                <w:sz w:val="20"/>
                <w:szCs w:val="20"/>
                <w:color w:val="auto"/>
              </w:rPr>
            </w:pPr>
            <w:r>
              <w:rPr>
                <w:rFonts w:ascii="Arial" w:cs="Arial" w:eastAsia="Arial" w:hAnsi="Arial"/>
                <w:sz w:val="16"/>
                <w:szCs w:val="16"/>
                <w:color w:val="auto"/>
              </w:rPr>
              <w:t>230,551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652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654</w:t>
            </w:r>
          </w:p>
        </w:tc>
      </w:tr>
      <w:tr>
        <w:trPr>
          <w:trHeight w:val="251"/>
        </w:trPr>
        <w:tc>
          <w:tcPr>
            <w:tcW w:w="33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Non-controlling interest adjustment</w:t>
            </w:r>
          </w:p>
        </w:tc>
        <w:tc>
          <w:tcPr>
            <w:tcW w:w="3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68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DBDBDB"/>
          </w:tcPr>
          <w:p>
            <w:pPr>
              <w:spacing w:after="0"/>
              <w:rPr>
                <w:sz w:val="21"/>
                <w:szCs w:val="21"/>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3340" w:type="dxa"/>
            <w:vAlign w:val="bottom"/>
          </w:tcPr>
          <w:p>
            <w:pPr>
              <w:ind w:left="120"/>
              <w:spacing w:after="0"/>
              <w:rPr>
                <w:sz w:val="20"/>
                <w:szCs w:val="20"/>
                <w:color w:val="auto"/>
              </w:rPr>
            </w:pPr>
            <w:r>
              <w:rPr>
                <w:rFonts w:ascii="Arial" w:cs="Arial" w:eastAsia="Arial" w:hAnsi="Arial"/>
                <w:sz w:val="16"/>
                <w:szCs w:val="16"/>
                <w:color w:val="auto"/>
              </w:rPr>
              <w:t>Distributions paid to non-controlling interest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3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holders</w:t>
            </w: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r>
      <w:tr>
        <w:trPr>
          <w:trHeight w:val="239"/>
        </w:trPr>
        <w:tc>
          <w:tcPr>
            <w:tcW w:w="33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March 30, 2025</w:t>
            </w:r>
          </w:p>
        </w:tc>
        <w:tc>
          <w:tcPr>
            <w:tcW w:w="940" w:type="dxa"/>
            <w:vAlign w:val="bottom"/>
            <w:gridSpan w:val="4"/>
            <w:shd w:val="clear" w:color="auto" w:fill="DBDBDB"/>
          </w:tcPr>
          <w:p>
            <w:pPr>
              <w:jc w:val="right"/>
              <w:ind w:right="60"/>
              <w:spacing w:after="0"/>
              <w:rPr>
                <w:sz w:val="20"/>
                <w:szCs w:val="20"/>
                <w:color w:val="auto"/>
              </w:rPr>
            </w:pPr>
            <w:r>
              <w:rPr>
                <w:rFonts w:ascii="Arial" w:cs="Arial" w:eastAsia="Arial" w:hAnsi="Arial"/>
                <w:sz w:val="16"/>
                <w:szCs w:val="16"/>
                <w:color w:val="auto"/>
              </w:rPr>
              <w:t>63,905,130</w:t>
            </w: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639</w:t>
            </w:r>
          </w:p>
        </w:tc>
        <w:tc>
          <w:tcPr>
            <w:tcW w:w="80" w:type="dxa"/>
            <w:vAlign w:val="bottom"/>
            <w:shd w:val="clear" w:color="auto" w:fill="DBDBDB"/>
          </w:tcPr>
          <w:p>
            <w:pPr>
              <w:spacing w:after="0"/>
              <w:rPr>
                <w:sz w:val="20"/>
                <w:szCs w:val="20"/>
                <w:color w:val="auto"/>
              </w:rPr>
            </w:pP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10,732,800</w:t>
            </w: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spacing w:after="0"/>
              <w:rPr>
                <w:sz w:val="20"/>
                <w:szCs w:val="20"/>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359,798</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46,442</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88,527</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495,406</w:t>
            </w:r>
          </w:p>
        </w:tc>
      </w:tr>
      <w:tr>
        <w:trPr>
          <w:trHeight w:val="254"/>
        </w:trPr>
        <w:tc>
          <w:tcPr>
            <w:tcW w:w="33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43"/>
        </w:trPr>
        <w:tc>
          <w:tcPr>
            <w:tcW w:w="33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December 28, 2025</w:t>
            </w:r>
          </w:p>
        </w:tc>
        <w:tc>
          <w:tcPr>
            <w:tcW w:w="940" w:type="dxa"/>
            <w:vAlign w:val="bottom"/>
            <w:gridSpan w:val="4"/>
            <w:shd w:val="clear" w:color="auto" w:fill="DBDBDB"/>
          </w:tcPr>
          <w:p>
            <w:pPr>
              <w:jc w:val="right"/>
              <w:ind w:right="60"/>
              <w:spacing w:after="0"/>
              <w:rPr>
                <w:sz w:val="20"/>
                <w:szCs w:val="20"/>
                <w:color w:val="auto"/>
              </w:rPr>
            </w:pPr>
            <w:r>
              <w:rPr>
                <w:rFonts w:ascii="Arial" w:cs="Arial" w:eastAsia="Arial" w:hAnsi="Arial"/>
                <w:sz w:val="16"/>
                <w:szCs w:val="16"/>
                <w:color w:val="auto"/>
              </w:rPr>
              <w:t>71,971,736</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720</w:t>
            </w:r>
          </w:p>
        </w:tc>
        <w:tc>
          <w:tcPr>
            <w:tcW w:w="80" w:type="dxa"/>
            <w:vAlign w:val="bottom"/>
            <w:shd w:val="clear" w:color="auto" w:fill="DBDBDB"/>
          </w:tcPr>
          <w:p>
            <w:pPr>
              <w:spacing w:after="0"/>
              <w:rPr>
                <w:sz w:val="21"/>
                <w:szCs w:val="21"/>
                <w:color w:val="auto"/>
              </w:rPr>
            </w:pP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3,442,335</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404,603</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62,474</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29,476</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497,273</w:t>
            </w:r>
          </w:p>
        </w:tc>
      </w:tr>
      <w:tr>
        <w:trPr>
          <w:trHeight w:val="262"/>
        </w:trPr>
        <w:tc>
          <w:tcPr>
            <w:tcW w:w="3340" w:type="dxa"/>
            <w:vAlign w:val="bottom"/>
          </w:tcPr>
          <w:p>
            <w:pPr>
              <w:ind w:left="120"/>
              <w:spacing w:after="0"/>
              <w:rPr>
                <w:sz w:val="20"/>
                <w:szCs w:val="20"/>
                <w:color w:val="auto"/>
              </w:rPr>
            </w:pPr>
            <w:r>
              <w:rPr>
                <w:rFonts w:ascii="Arial" w:cs="Arial" w:eastAsia="Arial" w:hAnsi="Arial"/>
                <w:sz w:val="16"/>
                <w:szCs w:val="16"/>
                <w:color w:val="auto"/>
              </w:rPr>
              <w:t>Net loss</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51"/>
        </w:trPr>
        <w:tc>
          <w:tcPr>
            <w:tcW w:w="33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Equity-based compensation</w:t>
            </w:r>
          </w:p>
        </w:tc>
        <w:tc>
          <w:tcPr>
            <w:tcW w:w="3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68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DBDBDB"/>
          </w:tcPr>
          <w:p>
            <w:pPr>
              <w:spacing w:after="0"/>
              <w:rPr>
                <w:sz w:val="21"/>
                <w:szCs w:val="21"/>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3,083</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3,230</w:t>
            </w:r>
          </w:p>
        </w:tc>
      </w:tr>
      <w:tr>
        <w:trPr>
          <w:trHeight w:val="202"/>
        </w:trPr>
        <w:tc>
          <w:tcPr>
            <w:tcW w:w="3340" w:type="dxa"/>
            <w:vAlign w:val="bottom"/>
          </w:tcPr>
          <w:p>
            <w:pPr>
              <w:ind w:left="120"/>
              <w:spacing w:after="0"/>
              <w:rPr>
                <w:sz w:val="20"/>
                <w:szCs w:val="20"/>
                <w:color w:val="auto"/>
              </w:rPr>
            </w:pPr>
            <w:r>
              <w:rPr>
                <w:rFonts w:ascii="Arial" w:cs="Arial" w:eastAsia="Arial" w:hAnsi="Arial"/>
                <w:sz w:val="16"/>
                <w:szCs w:val="16"/>
                <w:color w:val="auto"/>
              </w:rPr>
              <w:t>Activity under equity-based compensation</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3340" w:type="dxa"/>
            <w:vAlign w:val="bottom"/>
          </w:tcPr>
          <w:p>
            <w:pPr>
              <w:ind w:left="120"/>
              <w:spacing w:after="0"/>
              <w:rPr>
                <w:sz w:val="20"/>
                <w:szCs w:val="20"/>
                <w:color w:val="auto"/>
              </w:rPr>
            </w:pPr>
            <w:r>
              <w:rPr>
                <w:rFonts w:ascii="Arial" w:cs="Arial" w:eastAsia="Arial" w:hAnsi="Arial"/>
                <w:sz w:val="16"/>
                <w:szCs w:val="16"/>
                <w:color w:val="auto"/>
              </w:rPr>
              <w:t>plans</w:t>
            </w:r>
          </w:p>
        </w:tc>
        <w:tc>
          <w:tcPr>
            <w:tcW w:w="940" w:type="dxa"/>
            <w:vAlign w:val="bottom"/>
            <w:gridSpan w:val="4"/>
          </w:tcPr>
          <w:p>
            <w:pPr>
              <w:jc w:val="right"/>
              <w:ind w:right="80"/>
              <w:spacing w:after="0"/>
              <w:rPr>
                <w:sz w:val="20"/>
                <w:szCs w:val="20"/>
                <w:color w:val="auto"/>
              </w:rPr>
            </w:pPr>
            <w:r>
              <w:rPr>
                <w:rFonts w:ascii="Arial" w:cs="Arial" w:eastAsia="Arial" w:hAnsi="Arial"/>
                <w:sz w:val="16"/>
                <w:szCs w:val="16"/>
                <w:color w:val="auto"/>
              </w:rPr>
              <w:t>170,217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51"/>
        </w:trPr>
        <w:tc>
          <w:tcPr>
            <w:tcW w:w="33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Redemption of LLC Units</w:t>
            </w:r>
          </w:p>
        </w:tc>
        <w:tc>
          <w:tcPr>
            <w:tcW w:w="940" w:type="dxa"/>
            <w:vAlign w:val="bottom"/>
            <w:gridSpan w:val="4"/>
            <w:shd w:val="clear" w:color="auto" w:fill="DBDBDB"/>
          </w:tcPr>
          <w:p>
            <w:pPr>
              <w:jc w:val="right"/>
              <w:ind w:right="80"/>
              <w:spacing w:after="0"/>
              <w:rPr>
                <w:sz w:val="20"/>
                <w:szCs w:val="20"/>
                <w:color w:val="auto"/>
              </w:rPr>
            </w:pPr>
            <w:r>
              <w:rPr>
                <w:rFonts w:ascii="Arial" w:cs="Arial" w:eastAsia="Arial" w:hAnsi="Arial"/>
                <w:sz w:val="16"/>
                <w:szCs w:val="16"/>
                <w:color w:val="auto"/>
              </w:rPr>
              <w:t>17,789</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(17,789)</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3340" w:type="dxa"/>
            <w:vAlign w:val="bottom"/>
          </w:tcPr>
          <w:p>
            <w:pPr>
              <w:ind w:left="120"/>
              <w:spacing w:after="0"/>
              <w:rPr>
                <w:sz w:val="20"/>
                <w:szCs w:val="20"/>
                <w:color w:val="auto"/>
              </w:rPr>
            </w:pPr>
            <w:r>
              <w:rPr>
                <w:rFonts w:ascii="Arial" w:cs="Arial" w:eastAsia="Arial" w:hAnsi="Arial"/>
                <w:sz w:val="16"/>
                <w:szCs w:val="16"/>
                <w:color w:val="auto"/>
              </w:rPr>
              <w:t>Non-controlling interest adjustment</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3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Distributions paid to non-controlling interest</w:t>
            </w:r>
          </w:p>
        </w:tc>
        <w:tc>
          <w:tcPr>
            <w:tcW w:w="30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r>
      <w:tr>
        <w:trPr>
          <w:trHeight w:val="244"/>
        </w:trPr>
        <w:tc>
          <w:tcPr>
            <w:tcW w:w="33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holders</w:t>
            </w:r>
          </w:p>
        </w:tc>
        <w:tc>
          <w:tcPr>
            <w:tcW w:w="3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68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DBDBDB"/>
          </w:tcPr>
          <w:p>
            <w:pPr>
              <w:spacing w:after="0"/>
              <w:rPr>
                <w:sz w:val="21"/>
                <w:szCs w:val="21"/>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(376)</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(376)</w:t>
            </w:r>
          </w:p>
        </w:tc>
      </w:tr>
      <w:tr>
        <w:trPr>
          <w:trHeight w:val="202"/>
        </w:trPr>
        <w:tc>
          <w:tcPr>
            <w:tcW w:w="3340" w:type="dxa"/>
            <w:vAlign w:val="bottom"/>
          </w:tcPr>
          <w:p>
            <w:pPr>
              <w:ind w:left="120"/>
              <w:spacing w:after="0"/>
              <w:rPr>
                <w:sz w:val="20"/>
                <w:szCs w:val="20"/>
                <w:color w:val="auto"/>
              </w:rPr>
            </w:pPr>
            <w:r>
              <w:rPr>
                <w:rFonts w:ascii="Arial" w:cs="Arial" w:eastAsia="Arial" w:hAnsi="Arial"/>
                <w:sz w:val="16"/>
                <w:szCs w:val="16"/>
                <w:color w:val="auto"/>
              </w:rPr>
              <w:t>Establishment of liabilities under Tax</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40" w:type="dxa"/>
            <w:vAlign w:val="bottom"/>
          </w:tcPr>
          <w:p>
            <w:pPr>
              <w:ind w:left="120"/>
              <w:spacing w:after="0"/>
              <w:rPr>
                <w:sz w:val="20"/>
                <w:szCs w:val="20"/>
                <w:color w:val="auto"/>
              </w:rPr>
            </w:pPr>
            <w:r>
              <w:rPr>
                <w:rFonts w:ascii="Arial" w:cs="Arial" w:eastAsia="Arial" w:hAnsi="Arial"/>
                <w:sz w:val="16"/>
                <w:szCs w:val="16"/>
                <w:color w:val="auto"/>
              </w:rPr>
              <w:t>Receivable Agreement and related changes</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3340" w:type="dxa"/>
            <w:vAlign w:val="bottom"/>
          </w:tcPr>
          <w:p>
            <w:pPr>
              <w:ind w:left="120"/>
              <w:spacing w:after="0"/>
              <w:rPr>
                <w:sz w:val="20"/>
                <w:szCs w:val="20"/>
                <w:color w:val="auto"/>
              </w:rPr>
            </w:pPr>
            <w:r>
              <w:rPr>
                <w:rFonts w:ascii="Arial" w:cs="Arial" w:eastAsia="Arial" w:hAnsi="Arial"/>
                <w:sz w:val="16"/>
                <w:szCs w:val="16"/>
                <w:color w:val="auto"/>
              </w:rPr>
              <w:t>to deferred tax assets associated with</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3340" w:type="dxa"/>
            <w:vAlign w:val="bottom"/>
          </w:tcPr>
          <w:p>
            <w:pPr>
              <w:ind w:left="120"/>
              <w:spacing w:after="0"/>
              <w:rPr>
                <w:sz w:val="20"/>
                <w:szCs w:val="20"/>
                <w:color w:val="auto"/>
              </w:rPr>
            </w:pPr>
            <w:r>
              <w:rPr>
                <w:rFonts w:ascii="Arial" w:cs="Arial" w:eastAsia="Arial" w:hAnsi="Arial"/>
                <w:sz w:val="16"/>
                <w:szCs w:val="16"/>
                <w:color w:val="auto"/>
              </w:rPr>
              <w:t>increases in tax basis</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33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Contributions from non-controlling interest</w:t>
            </w:r>
          </w:p>
        </w:tc>
        <w:tc>
          <w:tcPr>
            <w:tcW w:w="30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r>
      <w:tr>
        <w:trPr>
          <w:trHeight w:val="237"/>
        </w:trPr>
        <w:tc>
          <w:tcPr>
            <w:tcW w:w="334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6"/>
                <w:szCs w:val="16"/>
                <w:color w:val="auto"/>
              </w:rPr>
              <w:t>holders</w:t>
            </w:r>
          </w:p>
        </w:tc>
        <w:tc>
          <w:tcPr>
            <w:tcW w:w="300" w:type="dxa"/>
            <w:vAlign w:val="bottom"/>
            <w:tcBorders>
              <w:bottom w:val="single" w:sz="8" w:color="auto"/>
            </w:tcBorders>
            <w:shd w:val="clear" w:color="auto" w:fill="DBDBDB"/>
          </w:tcPr>
          <w:p>
            <w:pPr>
              <w:spacing w:after="0"/>
              <w:rPr>
                <w:sz w:val="20"/>
                <w:szCs w:val="20"/>
                <w:color w:val="auto"/>
              </w:rPr>
            </w:pPr>
          </w:p>
        </w:tc>
        <w:tc>
          <w:tcPr>
            <w:tcW w:w="40" w:type="dxa"/>
            <w:vAlign w:val="bottom"/>
            <w:tcBorders>
              <w:bottom w:val="single" w:sz="8" w:color="auto"/>
            </w:tcBorders>
            <w:shd w:val="clear" w:color="auto" w:fill="DBDBDB"/>
          </w:tcPr>
          <w:p>
            <w:pPr>
              <w:spacing w:after="0"/>
              <w:rPr>
                <w:sz w:val="20"/>
                <w:szCs w:val="20"/>
                <w:color w:val="auto"/>
              </w:rPr>
            </w:pPr>
          </w:p>
        </w:tc>
        <w:tc>
          <w:tcPr>
            <w:tcW w:w="60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40" w:type="dxa"/>
            <w:vAlign w:val="bottom"/>
            <w:tcBorders>
              <w:bottom w:val="single" w:sz="8" w:color="auto"/>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40" w:type="dxa"/>
            <w:vAlign w:val="bottom"/>
            <w:tcBorders>
              <w:bottom w:val="single" w:sz="8" w:color="auto"/>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350</w:t>
            </w:r>
          </w:p>
        </w:tc>
        <w:tc>
          <w:tcPr>
            <w:tcW w:w="8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350</w:t>
            </w:r>
          </w:p>
        </w:tc>
      </w:tr>
      <w:tr>
        <w:trPr>
          <w:trHeight w:val="239"/>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Balance at March 29, 2026</w:t>
            </w:r>
          </w:p>
        </w:tc>
        <w:tc>
          <w:tcPr>
            <w:tcW w:w="940" w:type="dxa"/>
            <w:vAlign w:val="bottom"/>
            <w:gridSpan w:val="4"/>
          </w:tcPr>
          <w:p>
            <w:pPr>
              <w:jc w:val="right"/>
              <w:ind w:right="60"/>
              <w:spacing w:after="0"/>
              <w:rPr>
                <w:sz w:val="20"/>
                <w:szCs w:val="20"/>
                <w:color w:val="auto"/>
              </w:rPr>
            </w:pPr>
            <w:r>
              <w:rPr>
                <w:rFonts w:ascii="Arial" w:cs="Arial" w:eastAsia="Arial" w:hAnsi="Arial"/>
                <w:sz w:val="16"/>
                <w:szCs w:val="16"/>
                <w:color w:val="auto"/>
              </w:rPr>
              <w:t>72,159,742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722</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3,424,546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408,161</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62,072</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29,300</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500,255</w:t>
            </w:r>
          </w:p>
        </w:tc>
      </w:tr>
      <w:tr>
        <w:trPr>
          <w:trHeight w:val="24"/>
        </w:trPr>
        <w:tc>
          <w:tcPr>
            <w:tcW w:w="334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0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7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29, 2026</w:t>
            </w:r>
          </w:p>
        </w:tc>
        <w:tc>
          <w:tcPr>
            <w:tcW w:w="180" w:type="dxa"/>
            <w:vAlign w:val="bottom"/>
          </w:tcPr>
          <w:p>
            <w:pPr>
              <w:spacing w:after="0"/>
              <w:rPr>
                <w:sz w:val="21"/>
                <w:szCs w:val="21"/>
                <w:color w:val="auto"/>
              </w:rPr>
            </w:pP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30, 2025</w:t>
            </w:r>
          </w:p>
        </w:tc>
      </w:tr>
      <w:tr>
        <w:trPr>
          <w:trHeight w:val="227"/>
        </w:trPr>
        <w:tc>
          <w:tcPr>
            <w:tcW w:w="7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shd w:val="clear" w:color="auto" w:fill="DBDBDB"/>
          </w:tcPr>
          <w:p>
            <w:pPr>
              <w:spacing w:after="0"/>
              <w:rPr>
                <w:sz w:val="19"/>
                <w:szCs w:val="19"/>
                <w:color w:val="auto"/>
              </w:rPr>
            </w:pPr>
          </w:p>
        </w:tc>
        <w:tc>
          <w:tcPr>
            <w:tcW w:w="15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1500" w:type="dxa"/>
            <w:vAlign w:val="bottom"/>
            <w:tcBorders>
              <w:top w:val="single" w:sz="8" w:color="auto"/>
            </w:tcBorders>
            <w:shd w:val="clear" w:color="auto" w:fill="DBDBDB"/>
          </w:tcPr>
          <w:p>
            <w:pPr>
              <w:spacing w:after="0"/>
              <w:rPr>
                <w:sz w:val="19"/>
                <w:szCs w:val="19"/>
                <w:color w:val="auto"/>
              </w:rPr>
            </w:pPr>
          </w:p>
        </w:tc>
      </w:tr>
      <w:tr>
        <w:trPr>
          <w:trHeight w:val="235"/>
        </w:trPr>
        <w:tc>
          <w:tcPr>
            <w:tcW w:w="776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3,990</w:t>
            </w:r>
          </w:p>
        </w:tc>
      </w:tr>
      <w:tr>
        <w:trPr>
          <w:trHeight w:val="251"/>
        </w:trPr>
        <w:tc>
          <w:tcPr>
            <w:tcW w:w="7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spacing w:after="0"/>
              <w:rPr>
                <w:sz w:val="21"/>
                <w:szCs w:val="21"/>
                <w:color w:val="auto"/>
              </w:rPr>
            </w:pPr>
          </w:p>
        </w:tc>
      </w:tr>
      <w:tr>
        <w:trPr>
          <w:trHeight w:val="235"/>
        </w:trPr>
        <w:tc>
          <w:tcPr>
            <w:tcW w:w="77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7,936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7,040</w:t>
            </w:r>
          </w:p>
        </w:tc>
      </w:tr>
      <w:tr>
        <w:trPr>
          <w:trHeight w:val="251"/>
        </w:trPr>
        <w:tc>
          <w:tcPr>
            <w:tcW w:w="77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Amortization of debt issuance costs and discount</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176</w:t>
            </w:r>
          </w:p>
        </w:tc>
      </w:tr>
      <w:tr>
        <w:trPr>
          <w:trHeight w:val="235"/>
        </w:trPr>
        <w:tc>
          <w:tcPr>
            <w:tcW w:w="7760" w:type="dxa"/>
            <w:vAlign w:val="bottom"/>
          </w:tcPr>
          <w:p>
            <w:pPr>
              <w:ind w:left="360"/>
              <w:spacing w:after="0"/>
              <w:rPr>
                <w:sz w:val="20"/>
                <w:szCs w:val="20"/>
                <w:color w:val="auto"/>
              </w:rPr>
            </w:pPr>
            <w:r>
              <w:rPr>
                <w:rFonts w:ascii="Arial" w:cs="Arial" w:eastAsia="Arial" w:hAnsi="Arial"/>
                <w:sz w:val="16"/>
                <w:szCs w:val="16"/>
                <w:color w:val="auto"/>
              </w:rPr>
              <w:t>Loss on sales of assets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51"/>
        </w:trPr>
        <w:tc>
          <w:tcPr>
            <w:tcW w:w="77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Equity-based compensation</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3,230</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1,950</w:t>
            </w:r>
          </w:p>
        </w:tc>
      </w:tr>
      <w:tr>
        <w:trPr>
          <w:trHeight w:val="235"/>
        </w:trPr>
        <w:tc>
          <w:tcPr>
            <w:tcW w:w="7760" w:type="dxa"/>
            <w:vAlign w:val="bottom"/>
          </w:tcPr>
          <w:p>
            <w:pPr>
              <w:ind w:left="360"/>
              <w:spacing w:after="0"/>
              <w:rPr>
                <w:sz w:val="20"/>
                <w:szCs w:val="20"/>
                <w:color w:val="auto"/>
              </w:rPr>
            </w:pPr>
            <w:r>
              <w:rPr>
                <w:rFonts w:ascii="Arial" w:cs="Arial" w:eastAsia="Arial" w:hAnsi="Arial"/>
                <w:sz w:val="16"/>
                <w:szCs w:val="16"/>
                <w:color w:val="auto"/>
              </w:rPr>
              <w:t>Deferred income tax (benefit) expense</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1,360</w:t>
            </w:r>
          </w:p>
        </w:tc>
      </w:tr>
      <w:tr>
        <w:trPr>
          <w:trHeight w:val="251"/>
        </w:trPr>
        <w:tc>
          <w:tcPr>
            <w:tcW w:w="7760" w:type="dxa"/>
            <w:vAlign w:val="bottom"/>
            <w:shd w:val="clear" w:color="auto" w:fill="DBDBDB"/>
          </w:tcPr>
          <w:p>
            <w:pPr>
              <w:ind w:left="340"/>
              <w:spacing w:after="0"/>
              <w:rPr>
                <w:sz w:val="20"/>
                <w:szCs w:val="20"/>
                <w:color w:val="auto"/>
              </w:rPr>
            </w:pPr>
            <w:r>
              <w:rPr>
                <w:rFonts w:ascii="Arial" w:cs="Arial" w:eastAsia="Arial" w:hAnsi="Arial"/>
                <w:sz w:val="16"/>
                <w:szCs w:val="16"/>
                <w:color w:val="auto"/>
              </w:rPr>
              <w:t>Tax Receivable Agreement liability adjustment</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(647)</w:t>
            </w:r>
          </w:p>
        </w:tc>
      </w:tr>
      <w:tr>
        <w:trPr>
          <w:trHeight w:val="235"/>
        </w:trPr>
        <w:tc>
          <w:tcPr>
            <w:tcW w:w="7760" w:type="dxa"/>
            <w:vAlign w:val="bottom"/>
          </w:tcPr>
          <w:p>
            <w:pPr>
              <w:ind w:left="360"/>
              <w:spacing w:after="0"/>
              <w:rPr>
                <w:sz w:val="20"/>
                <w:szCs w:val="20"/>
                <w:color w:val="auto"/>
              </w:rPr>
            </w:pPr>
            <w:r>
              <w:rPr>
                <w:rFonts w:ascii="Arial" w:cs="Arial" w:eastAsia="Arial" w:hAnsi="Arial"/>
                <w:sz w:val="16"/>
                <w:szCs w:val="16"/>
                <w:color w:val="auto"/>
              </w:rPr>
              <w:t>Gift card breakage</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51"/>
        </w:trPr>
        <w:tc>
          <w:tcPr>
            <w:tcW w:w="77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spacing w:after="0"/>
              <w:rPr>
                <w:sz w:val="21"/>
                <w:szCs w:val="21"/>
                <w:color w:val="auto"/>
              </w:rPr>
            </w:pPr>
          </w:p>
        </w:tc>
      </w:tr>
      <w:tr>
        <w:trPr>
          <w:trHeight w:val="235"/>
        </w:trPr>
        <w:tc>
          <w:tcPr>
            <w:tcW w:w="776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251"/>
        </w:trPr>
        <w:tc>
          <w:tcPr>
            <w:tcW w:w="77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Receivables from related parties</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w:t>
            </w:r>
          </w:p>
        </w:tc>
      </w:tr>
      <w:tr>
        <w:trPr>
          <w:trHeight w:val="235"/>
        </w:trPr>
        <w:tc>
          <w:tcPr>
            <w:tcW w:w="776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1,240</w:t>
            </w:r>
          </w:p>
        </w:tc>
      </w:tr>
      <w:tr>
        <w:trPr>
          <w:trHeight w:val="251"/>
        </w:trPr>
        <w:tc>
          <w:tcPr>
            <w:tcW w:w="77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(897)</w:t>
            </w:r>
          </w:p>
        </w:tc>
      </w:tr>
      <w:tr>
        <w:trPr>
          <w:trHeight w:val="235"/>
        </w:trPr>
        <w:tc>
          <w:tcPr>
            <w:tcW w:w="7760" w:type="dxa"/>
            <w:vAlign w:val="bottom"/>
          </w:tcPr>
          <w:p>
            <w:pPr>
              <w:ind w:left="36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2,383</w:t>
            </w:r>
          </w:p>
        </w:tc>
      </w:tr>
      <w:tr>
        <w:trPr>
          <w:trHeight w:val="251"/>
        </w:trPr>
        <w:tc>
          <w:tcPr>
            <w:tcW w:w="77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(1,378)</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(6,876)</w:t>
            </w:r>
          </w:p>
        </w:tc>
      </w:tr>
      <w:tr>
        <w:trPr>
          <w:trHeight w:val="235"/>
        </w:trPr>
        <w:tc>
          <w:tcPr>
            <w:tcW w:w="7760" w:type="dxa"/>
            <w:vAlign w:val="bottom"/>
          </w:tcPr>
          <w:p>
            <w:pPr>
              <w:ind w:left="36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51"/>
        </w:trPr>
        <w:tc>
          <w:tcPr>
            <w:tcW w:w="77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(975)</w:t>
            </w:r>
          </w:p>
        </w:tc>
      </w:tr>
      <w:tr>
        <w:trPr>
          <w:trHeight w:val="235"/>
        </w:trPr>
        <w:tc>
          <w:tcPr>
            <w:tcW w:w="7760" w:type="dxa"/>
            <w:vAlign w:val="bottom"/>
          </w:tcPr>
          <w:p>
            <w:pPr>
              <w:ind w:left="360"/>
              <w:spacing w:after="0"/>
              <w:rPr>
                <w:sz w:val="20"/>
                <w:szCs w:val="20"/>
                <w:color w:val="auto"/>
              </w:rPr>
            </w:pPr>
            <w:r>
              <w:rPr>
                <w:rFonts w:ascii="Arial" w:cs="Arial" w:eastAsia="Arial" w:hAnsi="Arial"/>
                <w:sz w:val="16"/>
                <w:szCs w:val="16"/>
                <w:color w:val="auto"/>
              </w:rPr>
              <w:t>Deferred lease incentives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776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6"/>
                <w:szCs w:val="16"/>
                <w:color w:val="auto"/>
              </w:rPr>
              <w:t>Other assets and liabilities</w:t>
            </w:r>
          </w:p>
        </w:tc>
        <w:tc>
          <w:tcPr>
            <w:tcW w:w="180" w:type="dxa"/>
            <w:vAlign w:val="bottom"/>
            <w:tcBorders>
              <w:bottom w:val="single" w:sz="8" w:color="auto"/>
            </w:tcBorders>
            <w:shd w:val="clear" w:color="auto" w:fill="DBDBDB"/>
          </w:tcPr>
          <w:p>
            <w:pPr>
              <w:spacing w:after="0"/>
              <w:rPr>
                <w:sz w:val="21"/>
                <w:szCs w:val="21"/>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518</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654</w:t>
            </w:r>
          </w:p>
        </w:tc>
      </w:tr>
      <w:tr>
        <w:trPr>
          <w:trHeight w:val="239"/>
        </w:trPr>
        <w:tc>
          <w:tcPr>
            <w:tcW w:w="77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17,554</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9,450</w:t>
            </w:r>
          </w:p>
        </w:tc>
      </w:tr>
      <w:tr>
        <w:trPr>
          <w:trHeight w:val="240"/>
        </w:trPr>
        <w:tc>
          <w:tcPr>
            <w:tcW w:w="77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DBDBDB"/>
          </w:tcPr>
          <w:p>
            <w:pPr>
              <w:spacing w:after="0"/>
              <w:rPr>
                <w:sz w:val="20"/>
                <w:szCs w:val="20"/>
                <w:color w:val="auto"/>
              </w:rPr>
            </w:pPr>
          </w:p>
        </w:tc>
        <w:tc>
          <w:tcPr>
            <w:tcW w:w="15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500" w:type="dxa"/>
            <w:vAlign w:val="bottom"/>
            <w:shd w:val="clear" w:color="auto" w:fill="DBDBDB"/>
          </w:tcPr>
          <w:p>
            <w:pPr>
              <w:spacing w:after="0"/>
              <w:rPr>
                <w:sz w:val="20"/>
                <w:szCs w:val="20"/>
                <w:color w:val="auto"/>
              </w:rPr>
            </w:pPr>
          </w:p>
        </w:tc>
      </w:tr>
      <w:tr>
        <w:trPr>
          <w:trHeight w:val="235"/>
        </w:trPr>
        <w:tc>
          <w:tcPr>
            <w:tcW w:w="776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(18,461)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(19,040)</w:t>
            </w:r>
          </w:p>
        </w:tc>
      </w:tr>
      <w:tr>
        <w:trPr>
          <w:trHeight w:val="244"/>
        </w:trPr>
        <w:tc>
          <w:tcPr>
            <w:tcW w:w="776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DBDBDB"/>
          </w:tcPr>
          <w:p>
            <w:pPr>
              <w:spacing w:after="0"/>
              <w:rPr>
                <w:sz w:val="21"/>
                <w:szCs w:val="21"/>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77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(18,305)</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(19,040)</w:t>
            </w:r>
          </w:p>
        </w:tc>
      </w:tr>
      <w:tr>
        <w:trPr>
          <w:trHeight w:val="240"/>
        </w:trPr>
        <w:tc>
          <w:tcPr>
            <w:tcW w:w="77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DBDBDB"/>
          </w:tcPr>
          <w:p>
            <w:pPr>
              <w:spacing w:after="0"/>
              <w:rPr>
                <w:sz w:val="20"/>
                <w:szCs w:val="20"/>
                <w:color w:val="auto"/>
              </w:rPr>
            </w:pPr>
          </w:p>
        </w:tc>
        <w:tc>
          <w:tcPr>
            <w:tcW w:w="15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500" w:type="dxa"/>
            <w:vAlign w:val="bottom"/>
            <w:shd w:val="clear" w:color="auto" w:fill="DBDBDB"/>
          </w:tcPr>
          <w:p>
            <w:pPr>
              <w:spacing w:after="0"/>
              <w:rPr>
                <w:sz w:val="20"/>
                <w:szCs w:val="20"/>
                <w:color w:val="auto"/>
              </w:rPr>
            </w:pPr>
          </w:p>
        </w:tc>
      </w:tr>
      <w:tr>
        <w:trPr>
          <w:trHeight w:val="235"/>
        </w:trPr>
        <w:tc>
          <w:tcPr>
            <w:tcW w:w="7760" w:type="dxa"/>
            <w:vAlign w:val="bottom"/>
          </w:tcPr>
          <w:p>
            <w:pPr>
              <w:ind w:left="220"/>
              <w:spacing w:after="0"/>
              <w:rPr>
                <w:sz w:val="20"/>
                <w:szCs w:val="20"/>
                <w:color w:val="auto"/>
              </w:rPr>
            </w:pPr>
            <w:r>
              <w:rPr>
                <w:rFonts w:ascii="Arial" w:cs="Arial" w:eastAsia="Arial" w:hAnsi="Arial"/>
                <w:sz w:val="16"/>
                <w:szCs w:val="16"/>
                <w:color w:val="auto"/>
              </w:rPr>
              <w:t>Proceeds from short-term debt, net</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48,000</w:t>
            </w:r>
          </w:p>
        </w:tc>
      </w:tr>
      <w:tr>
        <w:trPr>
          <w:trHeight w:val="251"/>
        </w:trPr>
        <w:tc>
          <w:tcPr>
            <w:tcW w:w="77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Payments of long-term debt</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(1,562)</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(38,750)</w:t>
            </w:r>
          </w:p>
        </w:tc>
      </w:tr>
      <w:tr>
        <w:trPr>
          <w:trHeight w:val="235"/>
        </w:trPr>
        <w:tc>
          <w:tcPr>
            <w:tcW w:w="7760" w:type="dxa"/>
            <w:vAlign w:val="bottom"/>
          </w:tcPr>
          <w:p>
            <w:pPr>
              <w:ind w:left="220"/>
              <w:spacing w:after="0"/>
              <w:rPr>
                <w:sz w:val="20"/>
                <w:szCs w:val="20"/>
                <w:color w:val="auto"/>
              </w:rPr>
            </w:pPr>
            <w:r>
              <w:rPr>
                <w:rFonts w:ascii="Arial" w:cs="Arial" w:eastAsia="Arial" w:hAnsi="Arial"/>
                <w:sz w:val="16"/>
                <w:szCs w:val="16"/>
                <w:color w:val="auto"/>
              </w:rPr>
              <w:t>Distributions paid to non-controlling interest holders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(1,291)</w:t>
            </w:r>
          </w:p>
        </w:tc>
      </w:tr>
      <w:tr>
        <w:trPr>
          <w:trHeight w:val="251"/>
        </w:trPr>
        <w:tc>
          <w:tcPr>
            <w:tcW w:w="77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stock option exercises</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587</w:t>
            </w:r>
          </w:p>
        </w:tc>
      </w:tr>
      <w:tr>
        <w:trPr>
          <w:trHeight w:val="235"/>
        </w:trPr>
        <w:tc>
          <w:tcPr>
            <w:tcW w:w="7760" w:type="dxa"/>
            <w:vAlign w:val="bottom"/>
          </w:tcPr>
          <w:p>
            <w:pPr>
              <w:ind w:left="220"/>
              <w:spacing w:after="0"/>
              <w:rPr>
                <w:sz w:val="20"/>
                <w:szCs w:val="20"/>
                <w:color w:val="auto"/>
              </w:rPr>
            </w:pPr>
            <w:r>
              <w:rPr>
                <w:rFonts w:ascii="Arial" w:cs="Arial" w:eastAsia="Arial" w:hAnsi="Arial"/>
                <w:sz w:val="16"/>
                <w:szCs w:val="16"/>
                <w:color w:val="auto"/>
              </w:rPr>
              <w:t>Employee withholding taxes related to net settled equity awards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51"/>
        </w:trPr>
        <w:tc>
          <w:tcPr>
            <w:tcW w:w="77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Employee Stock Purchase Plan purchases</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w:t>
            </w:r>
          </w:p>
        </w:tc>
      </w:tr>
      <w:tr>
        <w:trPr>
          <w:trHeight w:val="235"/>
        </w:trPr>
        <w:tc>
          <w:tcPr>
            <w:tcW w:w="7760" w:type="dxa"/>
            <w:vAlign w:val="bottom"/>
          </w:tcPr>
          <w:p>
            <w:pPr>
              <w:ind w:left="220"/>
              <w:spacing w:after="0"/>
              <w:rPr>
                <w:sz w:val="20"/>
                <w:szCs w:val="20"/>
                <w:color w:val="auto"/>
              </w:rPr>
            </w:pPr>
            <w:r>
              <w:rPr>
                <w:rFonts w:ascii="Arial" w:cs="Arial" w:eastAsia="Arial" w:hAnsi="Arial"/>
                <w:sz w:val="16"/>
                <w:szCs w:val="16"/>
                <w:color w:val="auto"/>
              </w:rPr>
              <w:t>Payments of Tax Receivable Agreement liability</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(7,913)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(7,686)</w:t>
            </w:r>
          </w:p>
        </w:tc>
      </w:tr>
      <w:tr>
        <w:trPr>
          <w:trHeight w:val="251"/>
        </w:trPr>
        <w:tc>
          <w:tcPr>
            <w:tcW w:w="77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 of deferred financing costs</w:t>
            </w:r>
          </w:p>
        </w:tc>
        <w:tc>
          <w:tcPr>
            <w:tcW w:w="180" w:type="dxa"/>
            <w:vAlign w:val="bottom"/>
            <w:shd w:val="clear" w:color="auto" w:fill="DBDBDB"/>
          </w:tcPr>
          <w:p>
            <w:pPr>
              <w:spacing w:after="0"/>
              <w:rPr>
                <w:sz w:val="21"/>
                <w:szCs w:val="21"/>
                <w:color w:val="auto"/>
              </w:rPr>
            </w:pPr>
          </w:p>
        </w:tc>
        <w:tc>
          <w:tcPr>
            <w:tcW w:w="16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(1,263)</w:t>
            </w:r>
          </w:p>
        </w:tc>
      </w:tr>
      <w:tr>
        <w:trPr>
          <w:trHeight w:val="237"/>
        </w:trPr>
        <w:tc>
          <w:tcPr>
            <w:tcW w:w="7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Contributions from non-controlling interests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776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80" w:type="dxa"/>
            <w:vAlign w:val="bottom"/>
            <w:tcBorders>
              <w:bottom w:val="single" w:sz="8" w:color="auto"/>
            </w:tcBorders>
            <w:shd w:val="clear" w:color="auto" w:fill="DBDBDB"/>
          </w:tcPr>
          <w:p>
            <w:pPr>
              <w:spacing w:after="0"/>
              <w:rPr>
                <w:sz w:val="20"/>
                <w:szCs w:val="20"/>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4,781</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(350)</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 AND RESTRICTED CASH</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(9,940)</w:t>
            </w:r>
          </w:p>
        </w:tc>
      </w:tr>
      <w:tr>
        <w:trPr>
          <w:trHeight w:val="243"/>
        </w:trPr>
        <w:tc>
          <w:tcPr>
            <w:tcW w:w="77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BEGINNING OF THE PERIOD</w:t>
            </w:r>
          </w:p>
        </w:tc>
        <w:tc>
          <w:tcPr>
            <w:tcW w:w="180" w:type="dxa"/>
            <w:vAlign w:val="bottom"/>
            <w:tcBorders>
              <w:bottom w:val="single" w:sz="8" w:color="auto"/>
            </w:tcBorders>
            <w:shd w:val="clear" w:color="auto" w:fill="DBDBDB"/>
          </w:tcPr>
          <w:p>
            <w:pPr>
              <w:spacing w:after="0"/>
              <w:rPr>
                <w:sz w:val="21"/>
                <w:szCs w:val="21"/>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19,963</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22,876</w:t>
            </w:r>
          </w:p>
        </w:tc>
      </w:tr>
      <w:tr>
        <w:trPr>
          <w:trHeight w:val="236"/>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THE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12,936</w:t>
            </w:r>
          </w:p>
        </w:tc>
      </w:tr>
      <w:tr>
        <w:trPr>
          <w:trHeight w:val="24"/>
        </w:trPr>
        <w:tc>
          <w:tcPr>
            <w:tcW w:w="7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5"/>
          </w:tcPr>
          <w:p>
            <w:pPr>
              <w:ind w:left="860"/>
              <w:spacing w:after="0"/>
              <w:rPr>
                <w:sz w:val="20"/>
                <w:szCs w:val="20"/>
                <w:color w:val="auto"/>
              </w:rPr>
            </w:pPr>
            <w:r>
              <w:rPr>
                <w:rFonts w:ascii="Arial" w:cs="Arial" w:eastAsia="Arial" w:hAnsi="Arial"/>
                <w:sz w:val="16"/>
                <w:szCs w:val="16"/>
                <w:b w:val="1"/>
                <w:bCs w:val="1"/>
                <w:color w:val="auto"/>
              </w:rPr>
              <w:t>Quarter Ended</w:t>
            </w:r>
          </w:p>
        </w:tc>
      </w:tr>
      <w:tr>
        <w:trPr>
          <w:trHeight w:val="244"/>
        </w:trPr>
        <w:tc>
          <w:tcPr>
            <w:tcW w:w="8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29, 2026</w:t>
            </w:r>
          </w:p>
        </w:tc>
        <w:tc>
          <w:tcPr>
            <w:tcW w:w="16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30, 2025</w:t>
            </w:r>
          </w:p>
        </w:tc>
      </w:tr>
      <w:tr>
        <w:trPr>
          <w:trHeight w:val="22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7"/>
        </w:trPr>
        <w:tc>
          <w:tcPr>
            <w:tcW w:w="80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 paid</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5,643</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6,158</w:t>
            </w:r>
          </w:p>
        </w:tc>
        <w:tc>
          <w:tcPr>
            <w:tcW w:w="20" w:type="dxa"/>
            <w:vAlign w:val="bottom"/>
          </w:tcPr>
          <w:p>
            <w:pPr>
              <w:spacing w:after="0"/>
              <w:rPr>
                <w:sz w:val="21"/>
                <w:szCs w:val="21"/>
                <w:color w:val="auto"/>
              </w:rPr>
            </w:pPr>
          </w:p>
        </w:tc>
      </w:tr>
      <w:tr>
        <w:trPr>
          <w:trHeight w:val="235"/>
        </w:trPr>
        <w:tc>
          <w:tcPr>
            <w:tcW w:w="8080" w:type="dxa"/>
            <w:vAlign w:val="bottom"/>
          </w:tcPr>
          <w:p>
            <w:pPr>
              <w:ind w:left="140"/>
              <w:spacing w:after="0"/>
              <w:rPr>
                <w:sz w:val="20"/>
                <w:szCs w:val="20"/>
                <w:color w:val="auto"/>
              </w:rPr>
            </w:pPr>
            <w:r>
              <w:rPr>
                <w:rFonts w:ascii="Arial" w:cs="Arial" w:eastAsia="Arial" w:hAnsi="Arial"/>
                <w:sz w:val="16"/>
                <w:szCs w:val="16"/>
                <w:color w:val="auto"/>
              </w:rPr>
              <w:t>Income tax paid</w:t>
            </w: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51"/>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08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8,433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8,007</w:t>
            </w:r>
          </w:p>
        </w:tc>
        <w:tc>
          <w:tcPr>
            <w:tcW w:w="20" w:type="dxa"/>
            <w:vAlign w:val="bottom"/>
          </w:tcPr>
          <w:p>
            <w:pPr>
              <w:spacing w:after="0"/>
              <w:rPr>
                <w:sz w:val="20"/>
                <w:szCs w:val="20"/>
                <w:color w:val="auto"/>
              </w:rPr>
            </w:pPr>
          </w:p>
        </w:tc>
      </w:tr>
      <w:tr>
        <w:trPr>
          <w:trHeight w:val="251"/>
        </w:trPr>
        <w:tc>
          <w:tcPr>
            <w:tcW w:w="80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Establishment of liabilities under Tax Receivable Agreement</w:t>
            </w:r>
          </w:p>
        </w:tc>
        <w:tc>
          <w:tcPr>
            <w:tcW w:w="14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524"/>
        </w:trPr>
        <w:tc>
          <w:tcPr>
            <w:tcW w:w="8080" w:type="dxa"/>
            <w:vAlign w:val="bottom"/>
          </w:tcPr>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8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Portillo's Inc.</w:t>
            </w: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w w:val="98"/>
              </w:rPr>
              <w:t>Form 10-Q | 7</w:t>
            </w:r>
          </w:p>
        </w:tc>
      </w:tr>
      <w:tr>
        <w:trPr>
          <w:trHeight w:val="111"/>
        </w:trPr>
        <w:tc>
          <w:tcPr>
            <w:tcW w:w="8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-316230</wp:posOffset>
            </wp:positionV>
            <wp:extent cx="17145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PORTILLO'S INC.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1.</w:t>
        <w:tab/>
        <w:t>DESCRIPTION OF BUSINESS</w:t>
      </w:r>
    </w:p>
    <w:p>
      <w:pPr>
        <w:spacing w:after="0" w:line="2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Portillo’s Inc. ("Inc.") was incorporated as a Delaware corporation on June 8, 2021, for the purpose of completing an initial public offering ("IPO") and related reorganization transactions in order to carry on the business of PHD Group Holdings LLC and its subsidiaries ("Portillo's OpCo"). Portillo's Inc. is the sole managing member of Portillo’s OpCo, and as sole managing member, Inc. operates and controls all of the business and affairs of Portillo's OpCo and reports a non-controlling interest representing the economic interest in Portillo's OpCo held by the other members of Portillo's OpCo (the "pre-IPO LLC Members"). Unless the context otherwise requires, references to "we," "us," "our," "Portillo's," and the "Company" refer to Portillo's Inc. and its subsidiaries, including Portillo's OpCo.</w:t>
      </w:r>
    </w:p>
    <w:p>
      <w:pPr>
        <w:spacing w:after="0" w:line="2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operates restaurants in 11 states that serve Chicago-style hot dogs and sausages, Italian beef sandwiches, char-grilled burgers, chopped salads, crinkle-cut fries, homemade chocolate cake and more, along with two food production commissaries in Illinois. As of March 29, 2026, the Company had 105 restaurants in operation. The Company also had one non-traditional location in operation, a food truck. Portillo's additionally has a 50% interest in a single restaurant owned by C&amp;O Chicago, L.L.C. ("C&amp;O"), which is excluded from the Company's restaurant count noted above. The Company’s principal corporate offices are located in Oak Brook, Illinois.</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Company entered into a joint venture agreement to develop and operate a restaurant at the Dallas-Fort Worth International Airport ("DFW") which is expected to commence operations in the second quarter of 2026. The Company holds a 65% ownership interest in AP Dogs, LLC ("AP Dogs") and has day-to-day operational and managerial control over its business and affairs. Accordingly, the Company consolidates the joint venture and reports a noncontrolling interest representing the economic interest in AP Dogs held by the other partner.</w:t>
      </w:r>
    </w:p>
    <w:p>
      <w:pPr>
        <w:spacing w:after="0" w:line="19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2.</w:t>
        <w:tab/>
        <w:t>SUMMARY OF SIGNIFICANT ACCOUNTING POLICIES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Basis of Presentation</w:t>
      </w:r>
    </w:p>
    <w:p>
      <w:pPr>
        <w:spacing w:after="0" w:line="2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("GAAP") for interim financial statements and pursuant to the rules and regulations of the Securities and Exchange Commission (the "SEC"). In the opinion of management, the accompanying unaudited condensed consolidated financial statements reflect all adjustments consisting of normal recurring adjustments necessary for a fair presentation of our financial position and results of operations. Interim results of operations are not necessarily indicative of the results that may be achieved for the full year. The financial statements and related notes do not include all information and footnotes required by GAAP for annual reports. The unaudited condensed consolidated financial statements should be read in conjunction with the consolidated financial statements and notes included in our Annual Report on Form 10-K for the fiscal year ended December 28,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3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Company does not have any components of other comprehensive income (loss) recorded within its condensed consolidated financial statements, and therefore, does not separately present a statement of comprehensive income (loss).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Fiscal Year</w:t>
      </w:r>
    </w:p>
    <w:p>
      <w:pPr>
        <w:spacing w:after="0" w:line="26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Company uses a 52- or 53-week fiscal year ending on the Sunday prior to or on December 31. In a 52-week fiscal year, each quarterly period is comprised of 13 weeks. An additional week in a 53-week fiscal year is added to the fourth quarter. Fiscal 2026 and 2025 consist of 52 weeks. The fiscal periods presented in this report are the quarters ended March 29, 2026 and March 30, 2025.</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Use of Estimates</w:t>
      </w:r>
    </w:p>
    <w:p>
      <w:pPr>
        <w:spacing w:after="0" w:line="24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period. Actual results could differ from those estimates.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7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PORTILLO'S INC.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Issued Accounting Standards</w:t>
      </w:r>
    </w:p>
    <w:p>
      <w:pPr>
        <w:spacing w:after="0" w:line="2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November 2024, the Financial Accounting Standards Board ("FASB") issued Accounting Standard Update ("ASU") 2024-03, Income Statement - Reporting Comprehensive Income - Expense Disaggregation Disclosures (Subtopic 220-40): Disaggregation of Income Statement Expenses, which requires disaggregation of certain expense captions into specified categories in disclosures within the footnotes to the financial statements. In January 2025, the FASB issued ASU 2025-01 "Income Statement-Reporting Comprehensive Income-Expense Disaggregation Disclosures-Clarifying the Effective Date", which amends the effective date of ASU 2024-03 to clarify that all public business entities are required to adopt the guidance in annual reporting periods beginning after December 15, 2026, and interim periods within annual reporting periods beginning after December 15, 2027. Early adoption is permitted. The Company is currently evaluating the effect of adopting this ASU.</w:t>
      </w:r>
    </w:p>
    <w:p>
      <w:pPr>
        <w:spacing w:after="0" w:line="21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September 2025, the FASB issued ASU 2025-06, Intangibles - Goodwill and Other - Internal-Use Software (Subtopic 350-40): Targeted Improvements to the Accounting for Internal-Use Software, which updates the cost capitalization threshold for internal-use software development costs by removing all references to software project development stages and providing new guidance on how to evaluate whether the probable-to-complete recognition threshold has been met. ASU 2025-06 is effective for fiscal years beginning after December 15, 2027, with early adoption permitted. The Company is currently evaluating the effect of adopting this ASU.</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December 2025, the FASB issued ASU 2025-11, Interim Reporting (Topic 270), which clarifies existing interim reporting guidance under U.S. GAAP. The ASU clarifies the scope and application of interim reporting requirements, the form and content of interim financial statements and disclosures, and consolidates required interim disclosures within Topic 270. The ASU also introduces a principle requiring disclosure of material events occurring after the annual reporting period but before the issuance of interim financial statements. The amendments do not change underlying interim reporting requirements but improve clarity and consistency. ASU 2025-11 is effective for fiscal years beginning after December 15, 2028, with early adoption permitted. The Company is currently evaluating the effect of adopting this ASU.</w:t>
      </w:r>
    </w:p>
    <w:p>
      <w:pPr>
        <w:spacing w:after="0" w:line="2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2025, the FASB issued ASU 2025-12, Codification Improvements, which makes technical corrections and clarifications for a broad range of topics within the FASB Accounting Standards Codification to improve clarity and consistency in the application of existing guidance. The improvements are not expected to have a significant effect on current accounting practice or result in significant costs to most entities. ASU 2025-12 is effective for fiscal years beginning after December 15, 2026, with early adoption permitted. The Company is currently evaluating the effect of adopting this ASU.</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Adopted Accounting Standards</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which requires public entities to disclose specific categories in the rate reconciliation and provide additional information for reconciling items that meet a quantitative threshold on an annual basis. ASU 2023-09 is effective for fiscal years beginning after December 15, 2024, with early adoption permitted. The Company adopted this standard during the fiscal year ended December 28, 2025.</w:t>
      </w:r>
    </w:p>
    <w:p>
      <w:pPr>
        <w:spacing w:after="0" w:line="20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PORTILLO'S INC.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3.</w:t>
        <w:tab/>
        <w:t>REVENUE RECOGNITION</w:t>
      </w:r>
    </w:p>
    <w:p>
      <w:pPr>
        <w:spacing w:after="0" w:line="2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 The Company also offers delivery services to customers which are generally classified as either Dispatch Sales or Marketplace Sales.</w:t>
      </w:r>
    </w:p>
    <w:p>
      <w:pPr>
        <w:spacing w:after="0" w:line="19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Company sells gift cards which do not have expiration dates. The Company recognized gift card breakage of $0.3 million for both the quarters ended March 29, 2026 and March 30,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gift card liability included in deferred revenue on the condensed consolidated balance sheets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29, 2026</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28, 2025</w:t>
            </w:r>
          </w:p>
        </w:tc>
      </w:tr>
      <w:tr>
        <w:trPr>
          <w:trHeight w:val="240"/>
        </w:trPr>
        <w:tc>
          <w:tcPr>
            <w:tcW w:w="79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Gift card liability</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5,021</w:t>
            </w:r>
          </w:p>
        </w:tc>
        <w:tc>
          <w:tcPr>
            <w:tcW w:w="100" w:type="dxa"/>
            <w:vAlign w:val="bottom"/>
            <w:tcBorders>
              <w:top w:val="single" w:sz="8" w:color="DBDBDB"/>
            </w:tcBorders>
            <w:shd w:val="clear" w:color="auto" w:fill="DBDBDB"/>
          </w:tcPr>
          <w:p>
            <w:pPr>
              <w:spacing w:after="0"/>
              <w:rPr>
                <w:sz w:val="20"/>
                <w:szCs w:val="20"/>
                <w:color w:val="auto"/>
              </w:rPr>
            </w:pPr>
          </w:p>
        </w:tc>
        <w:tc>
          <w:tcPr>
            <w:tcW w:w="620" w:type="dxa"/>
            <w:vAlign w:val="bottom"/>
            <w:tcBorders>
              <w:top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6,965</w:t>
            </w:r>
          </w:p>
        </w:tc>
      </w:tr>
    </w:tbl>
    <w:p>
      <w:pPr>
        <w:spacing w:after="0" w:line="76" w:lineRule="exact"/>
        <w:rPr>
          <w:sz w:val="20"/>
          <w:szCs w:val="20"/>
          <w:color w:val="auto"/>
        </w:rPr>
      </w:pPr>
    </w:p>
    <w:p>
      <w:pPr>
        <w:ind w:right="580"/>
        <w:spacing w:after="0" w:line="284" w:lineRule="auto"/>
        <w:rPr>
          <w:sz w:val="20"/>
          <w:szCs w:val="20"/>
          <w:color w:val="auto"/>
        </w:rPr>
      </w:pPr>
      <w:r>
        <w:rPr>
          <w:rFonts w:ascii="Arial" w:cs="Arial" w:eastAsia="Arial" w:hAnsi="Arial"/>
          <w:sz w:val="18"/>
          <w:szCs w:val="18"/>
          <w:color w:val="auto"/>
        </w:rPr>
        <w:t>Revenue recognized in the condensed consolidated statement of operations for the redemption of gift cards that were included in their respective gift card liability balances at the beginning of the year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4"/>
          </w:tcPr>
          <w:p>
            <w:pPr>
              <w:jc w:val="right"/>
              <w:ind w:right="113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7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29, 2026</w:t>
            </w:r>
          </w:p>
        </w:tc>
        <w:tc>
          <w:tcPr>
            <w:tcW w:w="200" w:type="dxa"/>
            <w:vAlign w:val="bottom"/>
          </w:tcPr>
          <w:p>
            <w:pPr>
              <w:spacing w:after="0"/>
              <w:rPr>
                <w:sz w:val="21"/>
                <w:szCs w:val="21"/>
                <w:color w:val="auto"/>
              </w:rPr>
            </w:pPr>
          </w:p>
        </w:tc>
        <w:tc>
          <w:tcPr>
            <w:tcW w:w="1540" w:type="dxa"/>
            <w:vAlign w:val="bottom"/>
          </w:tcPr>
          <w:p>
            <w:pPr>
              <w:jc w:val="right"/>
              <w:ind w:right="219"/>
              <w:spacing w:after="0"/>
              <w:rPr>
                <w:sz w:val="20"/>
                <w:szCs w:val="20"/>
                <w:color w:val="auto"/>
              </w:rPr>
            </w:pPr>
            <w:r>
              <w:rPr>
                <w:rFonts w:ascii="Arial" w:cs="Arial" w:eastAsia="Arial" w:hAnsi="Arial"/>
                <w:sz w:val="16"/>
                <w:szCs w:val="16"/>
                <w:b w:val="1"/>
                <w:bCs w:val="1"/>
                <w:color w:val="auto"/>
              </w:rPr>
              <w:t>March 30, 2025</w:t>
            </w:r>
          </w:p>
        </w:tc>
      </w:tr>
      <w:tr>
        <w:trPr>
          <w:trHeight w:val="240"/>
        </w:trPr>
        <w:tc>
          <w:tcPr>
            <w:tcW w:w="7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Revenue recognized from gift card liability balance at the beginning of the year</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2,021</w:t>
            </w:r>
          </w:p>
        </w:tc>
      </w:tr>
    </w:tbl>
    <w:p>
      <w:pPr>
        <w:spacing w:after="0" w:line="30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fiscal 2025, the Company launched Portillo’s Perks™ ("Perks"), an app-less loyalty program that lives in guests’ digital wallets. Perks is a visit-based program, and guests earn rewards based on qualified visits. The Perks liability was $0.2 million as of both March 29, 2026 and December 28, 2025, which is included in deferred revenue on the condensed consolidated balance sheets.</w:t>
      </w:r>
    </w:p>
    <w:p>
      <w:pPr>
        <w:spacing w:after="0" w:line="19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4.</w:t>
        <w:tab/>
        <w:t>INVENTORIES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29, 2026</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28, 2025</w:t>
            </w:r>
          </w:p>
        </w:tc>
      </w:tr>
      <w:tr>
        <w:trPr>
          <w:trHeight w:val="240"/>
        </w:trPr>
        <w:tc>
          <w:tcPr>
            <w:tcW w:w="79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Raw materials</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4,923</w:t>
            </w:r>
          </w:p>
        </w:tc>
        <w:tc>
          <w:tcPr>
            <w:tcW w:w="100" w:type="dxa"/>
            <w:vAlign w:val="bottom"/>
            <w:tcBorders>
              <w:top w:val="single" w:sz="8" w:color="DBDBDB"/>
            </w:tcBorders>
            <w:shd w:val="clear" w:color="auto" w:fill="DBDBDB"/>
          </w:tcPr>
          <w:p>
            <w:pPr>
              <w:spacing w:after="0"/>
              <w:rPr>
                <w:sz w:val="20"/>
                <w:szCs w:val="20"/>
                <w:color w:val="auto"/>
              </w:rPr>
            </w:pPr>
          </w:p>
        </w:tc>
        <w:tc>
          <w:tcPr>
            <w:tcW w:w="620" w:type="dxa"/>
            <w:vAlign w:val="bottom"/>
            <w:tcBorders>
              <w:top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5,408</w:t>
            </w:r>
          </w:p>
        </w:tc>
      </w:tr>
      <w:tr>
        <w:trPr>
          <w:trHeight w:val="235"/>
        </w:trPr>
        <w:tc>
          <w:tcPr>
            <w:tcW w:w="7900" w:type="dxa"/>
            <w:vAlign w:val="bottom"/>
          </w:tcPr>
          <w:p>
            <w:pPr>
              <w:ind w:left="20"/>
              <w:spacing w:after="0"/>
              <w:rPr>
                <w:sz w:val="20"/>
                <w:szCs w:val="20"/>
                <w:color w:val="auto"/>
              </w:rPr>
            </w:pPr>
            <w:r>
              <w:rPr>
                <w:rFonts w:ascii="Arial" w:cs="Arial" w:eastAsia="Arial" w:hAnsi="Arial"/>
                <w:sz w:val="16"/>
                <w:szCs w:val="16"/>
                <w:color w:val="auto"/>
              </w:rPr>
              <w:t>Work in progress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51"/>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1,772</w:t>
            </w:r>
          </w:p>
        </w:tc>
        <w:tc>
          <w:tcPr>
            <w:tcW w:w="10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1,827</w:t>
            </w:r>
          </w:p>
        </w:tc>
      </w:tr>
      <w:tr>
        <w:trPr>
          <w:trHeight w:val="236"/>
        </w:trPr>
        <w:tc>
          <w:tcPr>
            <w:tcW w:w="79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Consigned inventory</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DBDBDB"/>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w:t>
            </w:r>
          </w:p>
        </w:tc>
      </w:tr>
      <w:tr>
        <w:trPr>
          <w:trHeight w:val="262"/>
        </w:trPr>
        <w:tc>
          <w:tcPr>
            <w:tcW w:w="7900" w:type="dxa"/>
            <w:vAlign w:val="bottom"/>
            <w:tcBorders>
              <w:bottom w:val="single" w:sz="8" w:color="DBDBDB"/>
            </w:tcBorders>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7,668</w:t>
            </w:r>
          </w:p>
        </w:tc>
        <w:tc>
          <w:tcPr>
            <w:tcW w:w="100" w:type="dxa"/>
            <w:vAlign w:val="bottom"/>
            <w:tcBorders>
              <w:bottom w:val="single" w:sz="8" w:color="DBDBDB"/>
            </w:tcBorders>
            <w:shd w:val="clear" w:color="auto" w:fill="DBDBDB"/>
          </w:tcPr>
          <w:p>
            <w:pPr>
              <w:spacing w:after="0"/>
              <w:rPr>
                <w:sz w:val="22"/>
                <w:szCs w:val="22"/>
                <w:color w:val="auto"/>
              </w:rPr>
            </w:pPr>
          </w:p>
        </w:tc>
        <w:tc>
          <w:tcPr>
            <w:tcW w:w="620" w:type="dxa"/>
            <w:vAlign w:val="bottom"/>
            <w:tcBorders>
              <w:bottom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8,207</w:t>
            </w:r>
          </w:p>
        </w:tc>
      </w:tr>
      <w:tr>
        <w:trPr>
          <w:trHeight w:val="20"/>
        </w:trPr>
        <w:tc>
          <w:tcPr>
            <w:tcW w:w="79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5.</w:t>
      </w:r>
      <w:r>
        <w:rPr>
          <w:sz w:val="20"/>
          <w:szCs w:val="20"/>
          <w:color w:val="auto"/>
        </w:rPr>
        <w:tab/>
      </w:r>
      <w:r>
        <w:rPr>
          <w:rFonts w:ascii="Arial" w:cs="Arial" w:eastAsia="Arial" w:hAnsi="Arial"/>
          <w:sz w:val="24"/>
          <w:szCs w:val="24"/>
          <w:b w:val="1"/>
          <w:bCs w:val="1"/>
          <w:color w:val="414042"/>
        </w:rPr>
        <w:t>PROPERTY &amp; EQUIPMENT, NET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29, 2026</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28, 2025</w:t>
            </w:r>
          </w:p>
        </w:tc>
      </w:tr>
      <w:tr>
        <w:trPr>
          <w:trHeight w:val="240"/>
        </w:trPr>
        <w:tc>
          <w:tcPr>
            <w:tcW w:w="79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Land and land improvements</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27,681</w:t>
            </w:r>
          </w:p>
        </w:tc>
        <w:tc>
          <w:tcPr>
            <w:tcW w:w="100" w:type="dxa"/>
            <w:vAlign w:val="bottom"/>
            <w:tcBorders>
              <w:top w:val="single" w:sz="8" w:color="DBDBDB"/>
            </w:tcBorders>
            <w:shd w:val="clear" w:color="auto" w:fill="DBDBDB"/>
          </w:tcPr>
          <w:p>
            <w:pPr>
              <w:spacing w:after="0"/>
              <w:rPr>
                <w:sz w:val="20"/>
                <w:szCs w:val="20"/>
                <w:color w:val="auto"/>
              </w:rPr>
            </w:pPr>
          </w:p>
        </w:tc>
        <w:tc>
          <w:tcPr>
            <w:tcW w:w="500" w:type="dxa"/>
            <w:vAlign w:val="bottom"/>
            <w:tcBorders>
              <w:top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26,944</w:t>
            </w:r>
          </w:p>
        </w:tc>
      </w:tr>
      <w:tr>
        <w:trPr>
          <w:trHeight w:val="235"/>
        </w:trPr>
        <w:tc>
          <w:tcPr>
            <w:tcW w:w="790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5,790</w:t>
            </w:r>
          </w:p>
        </w:tc>
      </w:tr>
      <w:tr>
        <w:trPr>
          <w:trHeight w:val="251"/>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Furniture, fixtures, and equipment</w:t>
            </w:r>
          </w:p>
        </w:tc>
        <w:tc>
          <w:tcPr>
            <w:tcW w:w="16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202,984</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195,341</w:t>
            </w:r>
          </w:p>
        </w:tc>
      </w:tr>
      <w:tr>
        <w:trPr>
          <w:trHeight w:val="235"/>
        </w:trPr>
        <w:tc>
          <w:tcPr>
            <w:tcW w:w="790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351,228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327,138</w:t>
            </w:r>
          </w:p>
        </w:tc>
      </w:tr>
      <w:tr>
        <w:trPr>
          <w:trHeight w:val="251"/>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Transportation equipment</w:t>
            </w:r>
          </w:p>
        </w:tc>
        <w:tc>
          <w:tcPr>
            <w:tcW w:w="16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1,782</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1,956</w:t>
            </w:r>
          </w:p>
        </w:tc>
      </w:tr>
      <w:tr>
        <w:trPr>
          <w:trHeight w:val="236"/>
        </w:trPr>
        <w:tc>
          <w:tcPr>
            <w:tcW w:w="79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Construction-in-progress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17,122</w:t>
            </w: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34,384</w:t>
            </w:r>
          </w:p>
        </w:tc>
      </w:tr>
      <w:tr>
        <w:trPr>
          <w:trHeight w:val="243"/>
        </w:trPr>
        <w:tc>
          <w:tcPr>
            <w:tcW w:w="79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606,610</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591,553</w:t>
            </w:r>
          </w:p>
        </w:tc>
      </w:tr>
      <w:tr>
        <w:trPr>
          <w:trHeight w:val="236"/>
        </w:trPr>
        <w:tc>
          <w:tcPr>
            <w:tcW w:w="79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(178,064)</w:t>
            </w: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(171,290)</w:t>
            </w:r>
          </w:p>
        </w:tc>
      </w:tr>
      <w:tr>
        <w:trPr>
          <w:trHeight w:val="261"/>
        </w:trPr>
        <w:tc>
          <w:tcPr>
            <w:tcW w:w="790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428,546</w:t>
            </w:r>
          </w:p>
        </w:tc>
        <w:tc>
          <w:tcPr>
            <w:tcW w:w="100" w:type="dxa"/>
            <w:vAlign w:val="bottom"/>
            <w:tcBorders>
              <w:bottom w:val="single" w:sz="8" w:color="DBDBDB"/>
            </w:tcBorders>
            <w:shd w:val="clear" w:color="auto" w:fill="DBDBDB"/>
          </w:tcPr>
          <w:p>
            <w:pPr>
              <w:spacing w:after="0"/>
              <w:rPr>
                <w:sz w:val="22"/>
                <w:szCs w:val="22"/>
                <w:color w:val="auto"/>
              </w:rPr>
            </w:pPr>
          </w:p>
        </w:tc>
        <w:tc>
          <w:tcPr>
            <w:tcW w:w="50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420,263</w:t>
            </w:r>
          </w:p>
        </w:tc>
      </w:tr>
      <w:tr>
        <w:trPr>
          <w:trHeight w:val="20"/>
        </w:trPr>
        <w:tc>
          <w:tcPr>
            <w:tcW w:w="79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Depreciation expense was $ 7.2 million and $6.3 million for the quarters ended March 29, 2026 and March 30, 2025, respectively, and is included in depreciation and amortization in the condensed consolidated statements of operations.</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6.</w:t>
        <w:tab/>
        <w:t>GOODWILL &amp; INTANGIBLE ASSETS</w:t>
      </w:r>
    </w:p>
    <w:p>
      <w:pPr>
        <w:spacing w:after="0" w:line="258"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Company has one reporting unit for goodwill which is evaluated for impairment annually in the fourth quarter of each fiscal year, along with indefinite-lived intangibles, or more frequently when impairment indicators are present. There were no impairment indicators during the quarter ended March 29,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As of March 29, 2026</w:t>
            </w:r>
          </w:p>
        </w:tc>
        <w:tc>
          <w:tcPr>
            <w:tcW w:w="3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r>
      <w:tr>
        <w:trPr>
          <w:trHeight w:val="237"/>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Arial" w:cs="Arial" w:eastAsia="Arial" w:hAnsi="Arial"/>
                <w:sz w:val="16"/>
                <w:szCs w:val="16"/>
                <w:b w:val="1"/>
                <w:bCs w:val="1"/>
                <w:color w:val="auto"/>
              </w:rPr>
              <w:t>Gross Carrying Amount</w:t>
            </w:r>
          </w:p>
        </w:tc>
        <w:tc>
          <w:tcPr>
            <w:tcW w:w="260" w:type="dxa"/>
            <w:vAlign w:val="bottom"/>
          </w:tcPr>
          <w:p>
            <w:pPr>
              <w:spacing w:after="0"/>
              <w:rPr>
                <w:sz w:val="20"/>
                <w:szCs w:val="20"/>
                <w:color w:val="auto"/>
              </w:rPr>
            </w:pPr>
          </w:p>
        </w:tc>
        <w:tc>
          <w:tcPr>
            <w:tcW w:w="2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Accumulated Amortization</w:t>
            </w:r>
          </w:p>
        </w:tc>
        <w:tc>
          <w:tcPr>
            <w:tcW w:w="360" w:type="dxa"/>
            <w:vAlign w:val="bottom"/>
          </w:tcPr>
          <w:p>
            <w:pPr>
              <w:spacing w:after="0"/>
              <w:rPr>
                <w:sz w:val="20"/>
                <w:szCs w:val="20"/>
                <w:color w:val="auto"/>
              </w:rPr>
            </w:pPr>
          </w:p>
        </w:tc>
        <w:tc>
          <w:tcPr>
            <w:tcW w:w="246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Carrying Amount</w:t>
            </w:r>
          </w:p>
        </w:tc>
      </w:tr>
      <w:tr>
        <w:trPr>
          <w:trHeight w:val="254"/>
        </w:trPr>
        <w:tc>
          <w:tcPr>
            <w:tcW w:w="25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r>
      <w:tr>
        <w:trPr>
          <w:trHeight w:val="243"/>
        </w:trPr>
        <w:tc>
          <w:tcPr>
            <w:tcW w:w="2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280" w:type="dxa"/>
            <w:vAlign w:val="bottom"/>
            <w:shd w:val="clear" w:color="auto" w:fill="DBDBDB"/>
          </w:tcPr>
          <w:p>
            <w:pPr>
              <w:spacing w:after="0"/>
              <w:rPr>
                <w:sz w:val="21"/>
                <w:szCs w:val="21"/>
                <w:color w:val="auto"/>
              </w:rPr>
            </w:pPr>
          </w:p>
        </w:tc>
        <w:tc>
          <w:tcPr>
            <w:tcW w:w="25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5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2460" w:type="dxa"/>
            <w:vAlign w:val="bottom"/>
            <w:shd w:val="clear" w:color="auto" w:fill="DBDBDB"/>
          </w:tcPr>
          <w:p>
            <w:pPr>
              <w:spacing w:after="0"/>
              <w:rPr>
                <w:sz w:val="21"/>
                <w:szCs w:val="21"/>
                <w:color w:val="auto"/>
              </w:rPr>
            </w:pPr>
          </w:p>
        </w:tc>
      </w:tr>
      <w:tr>
        <w:trPr>
          <w:trHeight w:val="235"/>
        </w:trPr>
        <w:tc>
          <w:tcPr>
            <w:tcW w:w="258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520" w:type="dxa"/>
            <w:vAlign w:val="bottom"/>
          </w:tcPr>
          <w:p>
            <w:pPr>
              <w:jc w:val="right"/>
              <w:spacing w:after="0"/>
              <w:rPr>
                <w:sz w:val="20"/>
                <w:szCs w:val="20"/>
                <w:color w:val="auto"/>
              </w:rPr>
            </w:pPr>
            <w:r>
              <w:rPr>
                <w:rFonts w:ascii="Arial" w:cs="Arial" w:eastAsia="Arial" w:hAnsi="Arial"/>
                <w:sz w:val="16"/>
                <w:szCs w:val="16"/>
                <w:color w:val="auto"/>
              </w:rPr>
              <w:t>221,725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80" w:type="dxa"/>
            <w:vAlign w:val="bottom"/>
            <w:gridSpan w:val="2"/>
          </w:tcPr>
          <w:p>
            <w:pPr>
              <w:ind w:left="23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2460" w:type="dxa"/>
            <w:vAlign w:val="bottom"/>
          </w:tcPr>
          <w:p>
            <w:pPr>
              <w:jc w:val="right"/>
              <w:spacing w:after="0"/>
              <w:rPr>
                <w:sz w:val="20"/>
                <w:szCs w:val="20"/>
                <w:color w:val="auto"/>
              </w:rPr>
            </w:pPr>
            <w:r>
              <w:rPr>
                <w:rFonts w:ascii="Arial" w:cs="Arial" w:eastAsia="Arial" w:hAnsi="Arial"/>
                <w:sz w:val="16"/>
                <w:szCs w:val="16"/>
                <w:color w:val="auto"/>
              </w:rPr>
              <w:t>221,725</w:t>
            </w:r>
          </w:p>
        </w:tc>
      </w:tr>
      <w:tr>
        <w:trPr>
          <w:trHeight w:val="251"/>
        </w:trPr>
        <w:tc>
          <w:tcPr>
            <w:tcW w:w="2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 subject to amortization:</w:t>
            </w:r>
          </w:p>
        </w:tc>
        <w:tc>
          <w:tcPr>
            <w:tcW w:w="280" w:type="dxa"/>
            <w:vAlign w:val="bottom"/>
            <w:shd w:val="clear" w:color="auto" w:fill="DBDBDB"/>
          </w:tcPr>
          <w:p>
            <w:pPr>
              <w:spacing w:after="0"/>
              <w:rPr>
                <w:sz w:val="21"/>
                <w:szCs w:val="21"/>
                <w:color w:val="auto"/>
              </w:rPr>
            </w:pPr>
          </w:p>
        </w:tc>
        <w:tc>
          <w:tcPr>
            <w:tcW w:w="25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5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2460" w:type="dxa"/>
            <w:vAlign w:val="bottom"/>
            <w:shd w:val="clear" w:color="auto" w:fill="DBDBDB"/>
          </w:tcPr>
          <w:p>
            <w:pPr>
              <w:spacing w:after="0"/>
              <w:rPr>
                <w:sz w:val="21"/>
                <w:szCs w:val="21"/>
                <w:color w:val="auto"/>
              </w:rPr>
            </w:pPr>
          </w:p>
        </w:tc>
      </w:tr>
      <w:tr>
        <w:trPr>
          <w:trHeight w:val="237"/>
        </w:trPr>
        <w:tc>
          <w:tcPr>
            <w:tcW w:w="25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Recipes</w:t>
            </w: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(33,403)</w:t>
            </w:r>
          </w:p>
        </w:tc>
        <w:tc>
          <w:tcPr>
            <w:tcW w:w="10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22,714</w:t>
            </w:r>
          </w:p>
        </w:tc>
      </w:tr>
      <w:tr>
        <w:trPr>
          <w:trHeight w:val="261"/>
        </w:trPr>
        <w:tc>
          <w:tcPr>
            <w:tcW w:w="258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277,842</w:t>
            </w: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(33,403)</w:t>
            </w:r>
          </w:p>
        </w:tc>
        <w:tc>
          <w:tcPr>
            <w:tcW w:w="100" w:type="dxa"/>
            <w:vAlign w:val="bottom"/>
            <w:tcBorders>
              <w:bottom w:val="single" w:sz="8" w:color="DBDBDB"/>
            </w:tcBorders>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2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244,439</w:t>
            </w:r>
          </w:p>
        </w:tc>
      </w:tr>
      <w:tr>
        <w:trPr>
          <w:trHeight w:val="20"/>
        </w:trPr>
        <w:tc>
          <w:tcPr>
            <w:tcW w:w="25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2460" w:type="dxa"/>
            <w:vAlign w:val="bottom"/>
            <w:tcBorders>
              <w:top w:val="single" w:sz="8" w:color="DBDBDB"/>
              <w:bottom w:val="single" w:sz="8" w:color="auto"/>
            </w:tcBorders>
          </w:tcPr>
          <w:p>
            <w:pPr>
              <w:spacing w:after="0" w:line="20" w:lineRule="exact"/>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As of December 28, 2025</w:t>
            </w:r>
          </w:p>
        </w:tc>
        <w:tc>
          <w:tcPr>
            <w:tcW w:w="3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r>
      <w:tr>
        <w:trPr>
          <w:trHeight w:val="237"/>
        </w:trPr>
        <w:tc>
          <w:tcPr>
            <w:tcW w:w="2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Arial" w:cs="Arial" w:eastAsia="Arial" w:hAnsi="Arial"/>
                <w:sz w:val="16"/>
                <w:szCs w:val="16"/>
                <w:b w:val="1"/>
                <w:bCs w:val="1"/>
                <w:color w:val="auto"/>
              </w:rPr>
              <w:t>Gross Carrying Amount</w:t>
            </w:r>
          </w:p>
        </w:tc>
        <w:tc>
          <w:tcPr>
            <w:tcW w:w="260" w:type="dxa"/>
            <w:vAlign w:val="bottom"/>
          </w:tcPr>
          <w:p>
            <w:pPr>
              <w:spacing w:after="0"/>
              <w:rPr>
                <w:sz w:val="20"/>
                <w:szCs w:val="20"/>
                <w:color w:val="auto"/>
              </w:rPr>
            </w:pPr>
          </w:p>
        </w:tc>
        <w:tc>
          <w:tcPr>
            <w:tcW w:w="2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Accumulated Amortization</w:t>
            </w:r>
          </w:p>
        </w:tc>
        <w:tc>
          <w:tcPr>
            <w:tcW w:w="360" w:type="dxa"/>
            <w:vAlign w:val="bottom"/>
          </w:tcPr>
          <w:p>
            <w:pPr>
              <w:spacing w:after="0"/>
              <w:rPr>
                <w:sz w:val="20"/>
                <w:szCs w:val="20"/>
                <w:color w:val="auto"/>
              </w:rPr>
            </w:pPr>
          </w:p>
        </w:tc>
        <w:tc>
          <w:tcPr>
            <w:tcW w:w="246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Carrying Amount</w:t>
            </w:r>
          </w:p>
        </w:tc>
      </w:tr>
      <w:tr>
        <w:trPr>
          <w:trHeight w:val="254"/>
        </w:trPr>
        <w:tc>
          <w:tcPr>
            <w:tcW w:w="25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r>
      <w:tr>
        <w:trPr>
          <w:trHeight w:val="243"/>
        </w:trPr>
        <w:tc>
          <w:tcPr>
            <w:tcW w:w="2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280" w:type="dxa"/>
            <w:vAlign w:val="bottom"/>
            <w:shd w:val="clear" w:color="auto" w:fill="DBDBDB"/>
          </w:tcPr>
          <w:p>
            <w:pPr>
              <w:spacing w:after="0"/>
              <w:rPr>
                <w:sz w:val="21"/>
                <w:szCs w:val="21"/>
                <w:color w:val="auto"/>
              </w:rPr>
            </w:pPr>
          </w:p>
        </w:tc>
        <w:tc>
          <w:tcPr>
            <w:tcW w:w="25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5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2460" w:type="dxa"/>
            <w:vAlign w:val="bottom"/>
            <w:shd w:val="clear" w:color="auto" w:fill="DBDBDB"/>
          </w:tcPr>
          <w:p>
            <w:pPr>
              <w:spacing w:after="0"/>
              <w:rPr>
                <w:sz w:val="21"/>
                <w:szCs w:val="21"/>
                <w:color w:val="auto"/>
              </w:rPr>
            </w:pPr>
          </w:p>
        </w:tc>
      </w:tr>
      <w:tr>
        <w:trPr>
          <w:trHeight w:val="235"/>
        </w:trPr>
        <w:tc>
          <w:tcPr>
            <w:tcW w:w="254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520" w:type="dxa"/>
            <w:vAlign w:val="bottom"/>
          </w:tcPr>
          <w:p>
            <w:pPr>
              <w:jc w:val="right"/>
              <w:spacing w:after="0"/>
              <w:rPr>
                <w:sz w:val="20"/>
                <w:szCs w:val="20"/>
                <w:color w:val="auto"/>
              </w:rPr>
            </w:pPr>
            <w:r>
              <w:rPr>
                <w:rFonts w:ascii="Arial" w:cs="Arial" w:eastAsia="Arial" w:hAnsi="Arial"/>
                <w:sz w:val="16"/>
                <w:szCs w:val="16"/>
                <w:color w:val="auto"/>
              </w:rPr>
              <w:t>221,725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80" w:type="dxa"/>
            <w:vAlign w:val="bottom"/>
            <w:gridSpan w:val="2"/>
          </w:tcPr>
          <w:p>
            <w:pPr>
              <w:ind w:left="23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2460" w:type="dxa"/>
            <w:vAlign w:val="bottom"/>
          </w:tcPr>
          <w:p>
            <w:pPr>
              <w:jc w:val="right"/>
              <w:spacing w:after="0"/>
              <w:rPr>
                <w:sz w:val="20"/>
                <w:szCs w:val="20"/>
                <w:color w:val="auto"/>
              </w:rPr>
            </w:pPr>
            <w:r>
              <w:rPr>
                <w:rFonts w:ascii="Arial" w:cs="Arial" w:eastAsia="Arial" w:hAnsi="Arial"/>
                <w:sz w:val="16"/>
                <w:szCs w:val="16"/>
                <w:color w:val="auto"/>
              </w:rPr>
              <w:t>221,725</w:t>
            </w:r>
          </w:p>
        </w:tc>
      </w:tr>
      <w:tr>
        <w:trPr>
          <w:trHeight w:val="251"/>
        </w:trPr>
        <w:tc>
          <w:tcPr>
            <w:tcW w:w="2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 subject to amortization:</w:t>
            </w:r>
          </w:p>
        </w:tc>
        <w:tc>
          <w:tcPr>
            <w:tcW w:w="280" w:type="dxa"/>
            <w:vAlign w:val="bottom"/>
            <w:shd w:val="clear" w:color="auto" w:fill="DBDBDB"/>
          </w:tcPr>
          <w:p>
            <w:pPr>
              <w:spacing w:after="0"/>
              <w:rPr>
                <w:sz w:val="21"/>
                <w:szCs w:val="21"/>
                <w:color w:val="auto"/>
              </w:rPr>
            </w:pPr>
          </w:p>
        </w:tc>
        <w:tc>
          <w:tcPr>
            <w:tcW w:w="25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5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2460" w:type="dxa"/>
            <w:vAlign w:val="bottom"/>
            <w:shd w:val="clear" w:color="auto" w:fill="DBDBDB"/>
          </w:tcPr>
          <w:p>
            <w:pPr>
              <w:spacing w:after="0"/>
              <w:rPr>
                <w:sz w:val="21"/>
                <w:szCs w:val="21"/>
                <w:color w:val="auto"/>
              </w:rPr>
            </w:pPr>
          </w:p>
        </w:tc>
      </w:tr>
      <w:tr>
        <w:trPr>
          <w:trHeight w:val="236"/>
        </w:trPr>
        <w:tc>
          <w:tcPr>
            <w:tcW w:w="25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Recipes</w:t>
            </w: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(32,726)</w:t>
            </w:r>
          </w:p>
        </w:tc>
        <w:tc>
          <w:tcPr>
            <w:tcW w:w="12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23,391</w:t>
            </w:r>
          </w:p>
        </w:tc>
      </w:tr>
      <w:tr>
        <w:trPr>
          <w:trHeight w:val="262"/>
        </w:trPr>
        <w:tc>
          <w:tcPr>
            <w:tcW w:w="254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277,842</w:t>
            </w: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(32,726)</w:t>
            </w:r>
          </w:p>
        </w:tc>
        <w:tc>
          <w:tcPr>
            <w:tcW w:w="120" w:type="dxa"/>
            <w:vAlign w:val="bottom"/>
            <w:tcBorders>
              <w:bottom w:val="single" w:sz="8" w:color="DBDBDB"/>
            </w:tcBorders>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2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245,116</w:t>
            </w:r>
          </w:p>
        </w:tc>
      </w:tr>
      <w:tr>
        <w:trPr>
          <w:trHeight w:val="20"/>
        </w:trPr>
        <w:tc>
          <w:tcPr>
            <w:tcW w:w="254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5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246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20"/>
        <w:spacing w:after="0" w:line="287" w:lineRule="auto"/>
        <w:rPr>
          <w:sz w:val="20"/>
          <w:szCs w:val="20"/>
          <w:color w:val="auto"/>
        </w:rPr>
      </w:pPr>
      <w:r>
        <w:rPr>
          <w:rFonts w:ascii="Arial" w:cs="Arial" w:eastAsia="Arial" w:hAnsi="Arial"/>
          <w:sz w:val="18"/>
          <w:szCs w:val="18"/>
          <w:color w:val="auto"/>
        </w:rPr>
        <w:t>Amortization expense was $0.7 million for both the quarters ended March 29, 2026 and March 30, 2025, and is included in depreciation and amortization in the condensed consolidated statements of operations.</w:t>
      </w:r>
    </w:p>
    <w:p>
      <w:pPr>
        <w:spacing w:after="0" w:line="180" w:lineRule="exact"/>
        <w:rPr>
          <w:sz w:val="20"/>
          <w:szCs w:val="20"/>
          <w:color w:val="auto"/>
        </w:rPr>
      </w:pPr>
    </w:p>
    <w:p>
      <w:pPr>
        <w:ind w:right="380"/>
        <w:spacing w:after="0" w:line="284" w:lineRule="auto"/>
        <w:rPr>
          <w:sz w:val="20"/>
          <w:szCs w:val="20"/>
          <w:color w:val="auto"/>
        </w:rPr>
      </w:pPr>
      <w:r>
        <w:rPr>
          <w:rFonts w:ascii="Arial" w:cs="Arial" w:eastAsia="Arial" w:hAnsi="Arial"/>
          <w:sz w:val="18"/>
          <w:szCs w:val="18"/>
          <w:color w:val="auto"/>
        </w:rPr>
        <w:t>The estimated aggregate amortization expense related to intangible assets held at March 29, 2026 for the remainder of this year and the succeeding five years and thereafter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5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Estimated Amortization</w:t>
            </w:r>
          </w:p>
        </w:tc>
      </w:tr>
      <w:tr>
        <w:trPr>
          <w:trHeight w:val="240"/>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2026 (excluding the quarter ended March 29, 2026)</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2,030</w:t>
            </w:r>
          </w:p>
        </w:tc>
      </w:tr>
      <w:tr>
        <w:trPr>
          <w:trHeight w:val="235"/>
        </w:trPr>
        <w:tc>
          <w:tcPr>
            <w:tcW w:w="8520" w:type="dxa"/>
            <w:vAlign w:val="bottom"/>
          </w:tcPr>
          <w:p>
            <w:pPr>
              <w:ind w:left="20"/>
              <w:spacing w:after="0"/>
              <w:rPr>
                <w:sz w:val="20"/>
                <w:szCs w:val="20"/>
                <w:color w:val="auto"/>
              </w:rPr>
            </w:pPr>
            <w:r>
              <w:rPr>
                <w:rFonts w:ascii="Arial" w:cs="Arial" w:eastAsia="Arial" w:hAnsi="Arial"/>
                <w:sz w:val="16"/>
                <w:szCs w:val="16"/>
                <w:color w:val="auto"/>
              </w:rPr>
              <w:t>2027</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51"/>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2028</w:t>
            </w:r>
          </w:p>
        </w:tc>
        <w:tc>
          <w:tcPr>
            <w:tcW w:w="280" w:type="dxa"/>
            <w:vAlign w:val="bottom"/>
            <w:shd w:val="clear" w:color="auto" w:fill="DBDBDB"/>
          </w:tcPr>
          <w:p>
            <w:pPr>
              <w:spacing w:after="0"/>
              <w:rPr>
                <w:sz w:val="21"/>
                <w:szCs w:val="21"/>
                <w:color w:val="auto"/>
              </w:rPr>
            </w:pP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2,707</w:t>
            </w:r>
          </w:p>
        </w:tc>
      </w:tr>
      <w:tr>
        <w:trPr>
          <w:trHeight w:val="235"/>
        </w:trPr>
        <w:tc>
          <w:tcPr>
            <w:tcW w:w="8520" w:type="dxa"/>
            <w:vAlign w:val="bottom"/>
          </w:tcPr>
          <w:p>
            <w:pPr>
              <w:ind w:left="20"/>
              <w:spacing w:after="0"/>
              <w:rPr>
                <w:sz w:val="20"/>
                <w:szCs w:val="20"/>
                <w:color w:val="auto"/>
              </w:rPr>
            </w:pPr>
            <w:r>
              <w:rPr>
                <w:rFonts w:ascii="Arial" w:cs="Arial" w:eastAsia="Arial" w:hAnsi="Arial"/>
                <w:sz w:val="16"/>
                <w:szCs w:val="16"/>
                <w:color w:val="auto"/>
              </w:rPr>
              <w:t>2029</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2,150</w:t>
            </w:r>
          </w:p>
        </w:tc>
      </w:tr>
      <w:tr>
        <w:trPr>
          <w:trHeight w:val="251"/>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2030</w:t>
            </w:r>
          </w:p>
        </w:tc>
        <w:tc>
          <w:tcPr>
            <w:tcW w:w="280" w:type="dxa"/>
            <w:vAlign w:val="bottom"/>
            <w:shd w:val="clear" w:color="auto" w:fill="DBDBDB"/>
          </w:tcPr>
          <w:p>
            <w:pPr>
              <w:spacing w:after="0"/>
              <w:rPr>
                <w:sz w:val="21"/>
                <w:szCs w:val="21"/>
                <w:color w:val="auto"/>
              </w:rPr>
            </w:pP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1,369</w:t>
            </w:r>
          </w:p>
        </w:tc>
      </w:tr>
      <w:tr>
        <w:trPr>
          <w:trHeight w:val="235"/>
        </w:trPr>
        <w:tc>
          <w:tcPr>
            <w:tcW w:w="8520" w:type="dxa"/>
            <w:vAlign w:val="bottom"/>
          </w:tcPr>
          <w:p>
            <w:pPr>
              <w:ind w:left="20"/>
              <w:spacing w:after="0"/>
              <w:rPr>
                <w:sz w:val="20"/>
                <w:szCs w:val="20"/>
                <w:color w:val="auto"/>
              </w:rPr>
            </w:pPr>
            <w:r>
              <w:rPr>
                <w:rFonts w:ascii="Arial" w:cs="Arial" w:eastAsia="Arial" w:hAnsi="Arial"/>
                <w:sz w:val="16"/>
                <w:szCs w:val="16"/>
                <w:color w:val="auto"/>
              </w:rPr>
              <w:t>2031</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1,369</w:t>
            </w:r>
          </w:p>
        </w:tc>
      </w:tr>
      <w:tr>
        <w:trPr>
          <w:trHeight w:val="244"/>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2032 and thereafter</w:t>
            </w:r>
          </w:p>
        </w:tc>
        <w:tc>
          <w:tcPr>
            <w:tcW w:w="280" w:type="dxa"/>
            <w:vAlign w:val="bottom"/>
            <w:tcBorders>
              <w:bottom w:val="single" w:sz="8" w:color="auto"/>
            </w:tcBorders>
            <w:shd w:val="clear" w:color="auto" w:fill="DBDBDB"/>
          </w:tcPr>
          <w:p>
            <w:pPr>
              <w:spacing w:after="0"/>
              <w:rPr>
                <w:sz w:val="21"/>
                <w:szCs w:val="21"/>
                <w:color w:val="auto"/>
              </w:rPr>
            </w:pPr>
          </w:p>
        </w:tc>
        <w:tc>
          <w:tcPr>
            <w:tcW w:w="2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10,382</w:t>
            </w:r>
          </w:p>
        </w:tc>
      </w:tr>
      <w:tr>
        <w:trPr>
          <w:trHeight w:val="237"/>
        </w:trPr>
        <w:tc>
          <w:tcPr>
            <w:tcW w:w="85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22,714</w:t>
            </w:r>
          </w:p>
        </w:tc>
      </w:tr>
      <w:tr>
        <w:trPr>
          <w:trHeight w:val="27"/>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7.</w:t>
        <w:tab/>
        <w:t>FAIR VALUE OF FINANCIAL INSTRUMENTS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Recurring Basis</w:t>
      </w:r>
    </w:p>
    <w:p>
      <w:pPr>
        <w:spacing w:after="0" w:line="26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carrying value of the Company's cash and cash equivalents and restricted cash, accounts and tenant improvement receivables, accounts payable and all other current assets and liabilities, approximate fair values due to the short-term nature of these financial instruments.</w:t>
      </w:r>
    </w:p>
    <w:p>
      <w:pPr>
        <w:spacing w:after="0" w:line="19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Other assets consist of long-term prepaid expenses and a deferred compensation plan with related assets held in a rabbi trust. Other long-term liabilities consist of a deferred gain on a supplier arrangement. Long-term prepaid expenses and other long-term liabilities approximate fair values due to the nature of these financial instruments.</w:t>
      </w:r>
    </w:p>
    <w:p>
      <w:pPr>
        <w:spacing w:after="0" w:line="19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color w:val="414042"/>
        </w:rPr>
        <w:t xml:space="preserve">Deferred Compensation Plan - </w:t>
      </w:r>
      <w:r>
        <w:rPr>
          <w:rFonts w:ascii="Arial" w:cs="Arial" w:eastAsia="Arial" w:hAnsi="Arial"/>
          <w:sz w:val="18"/>
          <w:szCs w:val="18"/>
          <w:color w:val="000000"/>
        </w:rPr>
        <w:t>The Company maintains a rabbi trust to fund obligations under a deferred compensation plan. Amounts in</w:t>
      </w:r>
      <w:r>
        <w:rPr>
          <w:rFonts w:ascii="Arial" w:cs="Arial" w:eastAsia="Arial" w:hAnsi="Arial"/>
          <w:sz w:val="18"/>
          <w:szCs w:val="18"/>
          <w:b w:val="1"/>
          <w:bCs w:val="1"/>
          <w:color w:val="414042"/>
        </w:rPr>
        <w:t xml:space="preserve"> </w:t>
      </w:r>
      <w:r>
        <w:rPr>
          <w:rFonts w:ascii="Arial" w:cs="Arial" w:eastAsia="Arial" w:hAnsi="Arial"/>
          <w:sz w:val="18"/>
          <w:szCs w:val="18"/>
          <w:color w:val="000000"/>
        </w:rPr>
        <w:t>the rabbi trust are invested in mutual funds, which are designated as trading securities carried at fair value. The fair value measurement of these trading securities is considered Level 1 of the fair value hierarchy as they are measured using quoted market prices.</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March 29, 2026 and December 28, 2025, the fair value of the mutual fund investments and deferred compensation obligations were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March 29, 2026</w:t>
            </w:r>
          </w:p>
        </w:tc>
        <w:tc>
          <w:tcPr>
            <w:tcW w:w="100" w:type="dxa"/>
            <w:vAlign w:val="bottom"/>
            <w:tcBorders>
              <w:bottom w:val="single" w:sz="8" w:color="DBDBDB"/>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28, 2025</w:t>
            </w:r>
          </w:p>
        </w:tc>
      </w:tr>
      <w:tr>
        <w:trPr>
          <w:trHeight w:val="240"/>
        </w:trPr>
        <w:tc>
          <w:tcPr>
            <w:tcW w:w="78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60" w:type="dxa"/>
            <w:vAlign w:val="bottom"/>
            <w:gridSpan w:val="2"/>
            <w:shd w:val="clear" w:color="auto" w:fill="DBDBDB"/>
          </w:tcPr>
          <w:p>
            <w:pPr>
              <w:jc w:val="center"/>
              <w:ind w:right="260"/>
              <w:spacing w:after="0"/>
              <w:rPr>
                <w:sz w:val="20"/>
                <w:szCs w:val="20"/>
                <w:color w:val="auto"/>
              </w:rPr>
            </w:pPr>
            <w:r>
              <w:rPr>
                <w:rFonts w:ascii="Arial" w:cs="Arial" w:eastAsia="Arial" w:hAnsi="Arial"/>
                <w:sz w:val="16"/>
                <w:szCs w:val="16"/>
                <w:b w:val="1"/>
                <w:bCs w:val="1"/>
                <w:color w:val="auto"/>
                <w:w w:val="99"/>
              </w:rPr>
              <w:t>Level 1</w:t>
            </w:r>
          </w:p>
        </w:tc>
        <w:tc>
          <w:tcPr>
            <w:tcW w:w="320" w:type="dxa"/>
            <w:vAlign w:val="bottom"/>
            <w:shd w:val="clear" w:color="auto" w:fill="DBDBDB"/>
          </w:tcPr>
          <w:p>
            <w:pPr>
              <w:spacing w:after="0"/>
              <w:rPr>
                <w:sz w:val="20"/>
                <w:szCs w:val="20"/>
                <w:color w:val="auto"/>
              </w:rPr>
            </w:pPr>
          </w:p>
        </w:tc>
        <w:tc>
          <w:tcPr>
            <w:tcW w:w="1300" w:type="dxa"/>
            <w:vAlign w:val="bottom"/>
            <w:shd w:val="clear" w:color="auto" w:fill="DBDBDB"/>
          </w:tcPr>
          <w:p>
            <w:pPr>
              <w:jc w:val="right"/>
              <w:ind w:right="459"/>
              <w:spacing w:after="0"/>
              <w:rPr>
                <w:sz w:val="20"/>
                <w:szCs w:val="20"/>
                <w:color w:val="auto"/>
              </w:rPr>
            </w:pPr>
            <w:r>
              <w:rPr>
                <w:rFonts w:ascii="Arial" w:cs="Arial" w:eastAsia="Arial" w:hAnsi="Arial"/>
                <w:sz w:val="16"/>
                <w:szCs w:val="16"/>
                <w:b w:val="1"/>
                <w:bCs w:val="1"/>
                <w:color w:val="auto"/>
              </w:rPr>
              <w:t>Level 1</w:t>
            </w:r>
          </w:p>
        </w:tc>
      </w:tr>
      <w:tr>
        <w:trPr>
          <w:trHeight w:val="196"/>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 xml:space="preserve">Assets </w:t>
            </w:r>
            <w:r>
              <w:rPr>
                <w:rFonts w:ascii="Arial" w:cs="Arial" w:eastAsia="Arial" w:hAnsi="Arial"/>
                <w:sz w:val="16"/>
                <w:szCs w:val="16"/>
                <w:color w:val="auto"/>
              </w:rPr>
              <w:t>- Investments designated for deferred compensation plan</w:t>
            </w: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43"/>
        </w:trPr>
        <w:tc>
          <w:tcPr>
            <w:tcW w:w="78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 accounts</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881</w:t>
            </w:r>
          </w:p>
        </w:tc>
      </w:tr>
      <w:tr>
        <w:trPr>
          <w:trHeight w:val="237"/>
        </w:trPr>
        <w:tc>
          <w:tcPr>
            <w:tcW w:w="78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Mutual funds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w:t>
            </w:r>
          </w:p>
        </w:tc>
      </w:tr>
      <w:tr>
        <w:trPr>
          <w:trHeight w:val="268"/>
        </w:trPr>
        <w:tc>
          <w:tcPr>
            <w:tcW w:w="78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2,868</w:t>
            </w:r>
          </w:p>
        </w:tc>
        <w:tc>
          <w:tcPr>
            <w:tcW w:w="100" w:type="dxa"/>
            <w:vAlign w:val="bottom"/>
            <w:tcBorders>
              <w:bottom w:val="single" w:sz="8" w:color="DBDBDB"/>
            </w:tcBorders>
            <w:shd w:val="clear" w:color="auto" w:fill="DBDBDB"/>
          </w:tcPr>
          <w:p>
            <w:pPr>
              <w:spacing w:after="0"/>
              <w:rPr>
                <w:sz w:val="22"/>
                <w:szCs w:val="22"/>
                <w:color w:val="auto"/>
              </w:rPr>
            </w:pPr>
          </w:p>
        </w:tc>
        <w:tc>
          <w:tcPr>
            <w:tcW w:w="3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3,100</w:t>
            </w:r>
          </w:p>
        </w:tc>
      </w:tr>
      <w:tr>
        <w:trPr>
          <w:trHeight w:val="20"/>
        </w:trPr>
        <w:tc>
          <w:tcPr>
            <w:tcW w:w="78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March 29, 2026 and December 28, 2025, we had no Level 2 or Level 3 assets.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deferred compensation investments and obligations are included in other assets, accrued expenses and other long-term liabilities in the condensed consolidated balance sheets. Changes in the fair value of securities held in the rabbi trust are recognized as trading gains and losses and included in other income in the condensed consolidated statements of operations and offsetting increases or decreases in the deferred compensation obligation are recorded in accrued expenses and other long-term liabilities in the condensed consolidated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Debt for additional information relating to the fair value of the Company's outstanding debt instruments.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Non-Recurring Basis</w:t>
      </w:r>
    </w:p>
    <w:p>
      <w:pPr>
        <w:spacing w:after="0" w:line="24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Assets and liabilities that are measured at fair value on a non-recurring basis include property and equipment, net, operating lease assets, equity-method investment, goodwill and indefinite-lived intangible assets. These assets are measured at fair value whenever events or changes in circumstances indicate that the carrying amount of an asset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1280" w:type="dxa"/>
            <w:vAlign w:val="bottom"/>
          </w:tcPr>
          <w:p>
            <w:pPr>
              <w:spacing w:after="0"/>
              <w:rPr>
                <w:sz w:val="20"/>
                <w:szCs w:val="20"/>
                <w:color w:val="auto"/>
              </w:rPr>
            </w:pPr>
            <w:r>
              <w:rPr>
                <w:rFonts w:ascii="Arial" w:cs="Arial" w:eastAsia="Arial" w:hAnsi="Arial"/>
                <w:sz w:val="25"/>
                <w:szCs w:val="25"/>
                <w:b w:val="1"/>
                <w:bCs w:val="1"/>
                <w:color w:val="414042"/>
              </w:rPr>
              <w:t>NOTE 8.</w:t>
            </w:r>
          </w:p>
        </w:tc>
        <w:tc>
          <w:tcPr>
            <w:tcW w:w="6620" w:type="dxa"/>
            <w:vAlign w:val="bottom"/>
          </w:tcPr>
          <w:p>
            <w:pPr>
              <w:ind w:left="60"/>
              <w:spacing w:after="0"/>
              <w:rPr>
                <w:sz w:val="20"/>
                <w:szCs w:val="20"/>
                <w:color w:val="auto"/>
              </w:rPr>
            </w:pPr>
            <w:r>
              <w:rPr>
                <w:rFonts w:ascii="Arial" w:cs="Arial" w:eastAsia="Arial" w:hAnsi="Arial"/>
                <w:sz w:val="25"/>
                <w:szCs w:val="25"/>
                <w:b w:val="1"/>
                <w:bCs w:val="1"/>
                <w:color w:val="414042"/>
              </w:rPr>
              <w:t>DEBT</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7"/>
        </w:trPr>
        <w:tc>
          <w:tcPr>
            <w:tcW w:w="7900" w:type="dxa"/>
            <w:vAlign w:val="bottom"/>
            <w:gridSpan w:val="2"/>
          </w:tcPr>
          <w:p>
            <w:pPr>
              <w:spacing w:after="0"/>
              <w:rPr>
                <w:sz w:val="20"/>
                <w:szCs w:val="20"/>
                <w:color w:val="auto"/>
              </w:rPr>
            </w:pPr>
            <w:r>
              <w:rPr>
                <w:rFonts w:ascii="Arial" w:cs="Arial" w:eastAsia="Arial" w:hAnsi="Arial"/>
                <w:sz w:val="18"/>
                <w:szCs w:val="18"/>
                <w:color w:val="auto"/>
              </w:rPr>
              <w:t>Debt consisted of the following (in thousands):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128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29, 2026</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28, 2025</w:t>
            </w:r>
          </w:p>
        </w:tc>
      </w:tr>
      <w:tr>
        <w:trPr>
          <w:trHeight w:val="240"/>
        </w:trPr>
        <w:tc>
          <w:tcPr>
            <w:tcW w:w="1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Term Loan</w:t>
            </w:r>
          </w:p>
        </w:tc>
        <w:tc>
          <w:tcPr>
            <w:tcW w:w="6620" w:type="dxa"/>
            <w:vAlign w:val="bottom"/>
            <w:tcBorders>
              <w:top w:val="single" w:sz="8" w:color="DBDBDB"/>
            </w:tcBorders>
            <w:shd w:val="clear" w:color="auto" w:fill="DBDBDB"/>
          </w:tcPr>
          <w:p>
            <w:pPr>
              <w:spacing w:after="0"/>
              <w:rPr>
                <w:sz w:val="20"/>
                <w:szCs w:val="20"/>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245,313</w:t>
            </w:r>
          </w:p>
        </w:tc>
        <w:tc>
          <w:tcPr>
            <w:tcW w:w="100" w:type="dxa"/>
            <w:vAlign w:val="bottom"/>
            <w:tcBorders>
              <w:top w:val="single" w:sz="8" w:color="DBDBDB"/>
            </w:tcBorders>
            <w:shd w:val="clear" w:color="auto" w:fill="DBDBDB"/>
          </w:tcPr>
          <w:p>
            <w:pPr>
              <w:spacing w:after="0"/>
              <w:rPr>
                <w:sz w:val="20"/>
                <w:szCs w:val="20"/>
                <w:color w:val="auto"/>
              </w:rPr>
            </w:pPr>
          </w:p>
        </w:tc>
        <w:tc>
          <w:tcPr>
            <w:tcW w:w="540" w:type="dxa"/>
            <w:vAlign w:val="bottom"/>
            <w:tcBorders>
              <w:top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246,875</w:t>
            </w:r>
          </w:p>
        </w:tc>
      </w:tr>
      <w:tr>
        <w:trPr>
          <w:trHeight w:val="235"/>
        </w:trPr>
        <w:tc>
          <w:tcPr>
            <w:tcW w:w="1280" w:type="dxa"/>
            <w:vAlign w:val="bottom"/>
          </w:tcPr>
          <w:p>
            <w:pPr>
              <w:ind w:left="20"/>
              <w:spacing w:after="0"/>
              <w:rPr>
                <w:sz w:val="20"/>
                <w:szCs w:val="20"/>
                <w:color w:val="auto"/>
              </w:rPr>
            </w:pPr>
            <w:r>
              <w:rPr>
                <w:rFonts w:ascii="Arial" w:cs="Arial" w:eastAsia="Arial" w:hAnsi="Arial"/>
                <w:sz w:val="16"/>
                <w:szCs w:val="16"/>
                <w:color w:val="auto"/>
              </w:rPr>
              <w:t>Revolver Facility</w:t>
            </w:r>
          </w:p>
        </w:tc>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104,000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90,000</w:t>
            </w:r>
          </w:p>
        </w:tc>
      </w:tr>
      <w:tr>
        <w:trPr>
          <w:trHeight w:val="244"/>
        </w:trPr>
        <w:tc>
          <w:tcPr>
            <w:tcW w:w="79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Unamortized discount and debt issuance costs</w:t>
            </w:r>
          </w:p>
        </w:tc>
        <w:tc>
          <w:tcPr>
            <w:tcW w:w="160" w:type="dxa"/>
            <w:vAlign w:val="bottom"/>
            <w:tcBorders>
              <w:bottom w:val="single" w:sz="8" w:color="auto"/>
            </w:tcBorders>
            <w:shd w:val="clear" w:color="auto" w:fill="DBDBDB"/>
          </w:tcPr>
          <w:p>
            <w:pPr>
              <w:spacing w:after="0"/>
              <w:rPr>
                <w:sz w:val="21"/>
                <w:szCs w:val="21"/>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(2,478)</w:t>
            </w:r>
          </w:p>
        </w:tc>
        <w:tc>
          <w:tcPr>
            <w:tcW w:w="100" w:type="dxa"/>
            <w:vAlign w:val="bottom"/>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(2,648)</w:t>
            </w:r>
          </w:p>
        </w:tc>
      </w:tr>
      <w:tr>
        <w:trPr>
          <w:trHeight w:val="235"/>
        </w:trPr>
        <w:tc>
          <w:tcPr>
            <w:tcW w:w="1280" w:type="dxa"/>
            <w:vAlign w:val="bottom"/>
          </w:tcPr>
          <w:p>
            <w:pPr>
              <w:ind w:left="20"/>
              <w:spacing w:after="0"/>
              <w:rPr>
                <w:sz w:val="20"/>
                <w:szCs w:val="20"/>
                <w:color w:val="auto"/>
              </w:rPr>
            </w:pPr>
            <w:r>
              <w:rPr>
                <w:rFonts w:ascii="Arial" w:cs="Arial" w:eastAsia="Arial" w:hAnsi="Arial"/>
                <w:sz w:val="16"/>
                <w:szCs w:val="16"/>
                <w:color w:val="auto"/>
              </w:rPr>
              <w:t>Total debt, net</w:t>
            </w:r>
          </w:p>
        </w:tc>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346,835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334,227</w:t>
            </w:r>
          </w:p>
        </w:tc>
      </w:tr>
      <w:tr>
        <w:trPr>
          <w:trHeight w:val="251"/>
        </w:trPr>
        <w:tc>
          <w:tcPr>
            <w:tcW w:w="79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Less: Short-term debt</w:t>
            </w:r>
          </w:p>
        </w:tc>
        <w:tc>
          <w:tcPr>
            <w:tcW w:w="16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(104,000)</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(90,000)</w:t>
            </w:r>
          </w:p>
        </w:tc>
      </w:tr>
      <w:tr>
        <w:trPr>
          <w:trHeight w:val="236"/>
        </w:trPr>
        <w:tc>
          <w:tcPr>
            <w:tcW w:w="790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Less: Current portion of long-term debt</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(6,250)</w:t>
            </w:r>
          </w:p>
        </w:tc>
        <w:tc>
          <w:tcPr>
            <w:tcW w:w="100" w:type="dxa"/>
            <w:vAlign w:val="bottom"/>
            <w:tcBorders>
              <w:bottom w:val="single" w:sz="8" w:color="DBDBDB"/>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(6,250)</w:t>
            </w:r>
          </w:p>
        </w:tc>
      </w:tr>
      <w:tr>
        <w:trPr>
          <w:trHeight w:val="268"/>
        </w:trPr>
        <w:tc>
          <w:tcPr>
            <w:tcW w:w="79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Long-term debt, net</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236,585</w:t>
            </w:r>
          </w:p>
        </w:tc>
        <w:tc>
          <w:tcPr>
            <w:tcW w:w="100" w:type="dxa"/>
            <w:vAlign w:val="bottom"/>
            <w:tcBorders>
              <w:bottom w:val="single" w:sz="8" w:color="DBDBDB"/>
            </w:tcBorders>
            <w:shd w:val="clear" w:color="auto" w:fill="DBDBDB"/>
          </w:tcPr>
          <w:p>
            <w:pPr>
              <w:spacing w:after="0"/>
              <w:rPr>
                <w:sz w:val="22"/>
                <w:szCs w:val="22"/>
                <w:color w:val="auto"/>
              </w:rPr>
            </w:pPr>
          </w:p>
        </w:tc>
        <w:tc>
          <w:tcPr>
            <w:tcW w:w="540" w:type="dxa"/>
            <w:vAlign w:val="bottom"/>
            <w:tcBorders>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237,977</w:t>
            </w:r>
          </w:p>
        </w:tc>
      </w:tr>
      <w:tr>
        <w:trPr>
          <w:trHeight w:val="20"/>
        </w:trPr>
        <w:tc>
          <w:tcPr>
            <w:tcW w:w="1280" w:type="dxa"/>
            <w:vAlign w:val="bottom"/>
            <w:tcBorders>
              <w:top w:val="single" w:sz="8" w:color="DBDBDB"/>
            </w:tcBorders>
          </w:tcPr>
          <w:p>
            <w:pPr>
              <w:spacing w:after="0" w:line="20" w:lineRule="exact"/>
              <w:rPr>
                <w:sz w:val="1"/>
                <w:szCs w:val="1"/>
                <w:color w:val="auto"/>
              </w:rPr>
            </w:pPr>
          </w:p>
        </w:tc>
        <w:tc>
          <w:tcPr>
            <w:tcW w:w="66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2025 Credit Agreement</w:t>
      </w:r>
    </w:p>
    <w:p>
      <w:pPr>
        <w:spacing w:after="0" w:line="2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January 27, 2025 (the “2025 Credit Agreement Closing Date”), PHD Intermediate LLC ("Holdings"), Portillo’s Holdings LLC (the "Borrower"), the other Guarantors party thereto, the Lenders from time to time party thereto and Fifth Third Bank, National Association, as Administrative Agent (in such capacities, the "Administrative Agent"), the L/C Issuer and the Swing Line Lender entered into an amendment (the “Amendment”) to the credit agreement, dated as of February 2, 2023 (the "Existing Credit Agreement" and the Existing Credit Agreement as amended by the Amendment and as may be amended, restated, supplemented or otherwise modified from time to time thereafter, the "2025 Credit Agreement"), by and among Holdings, the Borrower, the other Guarantors from time to time party thereto, the Lenders from time to time party thereto and the Administrative Agent. The arrangement was accounted for as a debt modification.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Existing Credit Agreement provided for a term A loan (the "2023 Term Loan Facility") in an initial aggregate principal amount of</w:t>
      </w:r>
    </w:p>
    <w:p>
      <w:pPr>
        <w:spacing w:after="0" w:line="2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$300.0 million and revolving credit commitments in an initial aggregate principal amount of $100.0 million (the "2023 Revolver Facility"). The Amendment provides for, among other things, (i) a $250 million term loan A facility (the "2025 Term Loan Facility") and (ii) revolving credit commitments in an initial aggregate principal amount of $150 million (the "2025 Revolver Facility" and, together with the Term Loan Facility, the "2025 Facilities"). The loans under each of the 2025 Facilities mature on January 27, 2030. The proceeds of the 2025 Term Loan Facility were used to pay off in full amounts outstanding under the 2023 Term Loan Facility outstanding on the 2025 Credit Agreement Closing Date.</w:t>
      </w:r>
    </w:p>
    <w:p>
      <w:pPr>
        <w:spacing w:after="0" w:line="19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2023 Term Loan Facility and 2023 Revolver Facility accrued, and the 2025 Term Loan and 2025 Revolver Facility accrue interest at the forward-looking secured overnight financing rate ("SOFR") plus an applicable rate determined upon the consolidated total net rent adjusted leverage ratio, in each case subject to a 0.00% floor.</w:t>
      </w:r>
    </w:p>
    <w:p>
      <w:pPr>
        <w:spacing w:after="0" w:line="19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As of March 29, 2026, the interest rate on both the 2025 Term Loan Facility and 2025 Revolver Facility was 6.17%. Pursuant to the 2025 Credit Agreement, as of March 29, 2026, the commitment fees to maintain the 2025 Revolver Facility were 0.20%, and letter of credit fees were 2.50%. Commitment fees and letter of credit fees are recorded as interest expense in the condensed consolidated statements of operations. As of March 29, 2026, the effective interest rate was 6.52%.</w:t>
      </w:r>
    </w:p>
    <w:p>
      <w:pPr>
        <w:spacing w:after="0" w:line="203"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As of March 30, 2025, the interest rate on the 2025 Term Loan and 2025 Revolver Facility was 6.58% and 6.57%, respectively. Pursuant to the Existing Credit Agreement as of March 30, 2025, the commitment fees to maintain the 2023 Revolver Facility were 0.20% and letter of credit fees were 2.25%. As of March 30, 2025, the effective interest rate was 7.02%.</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2025 Term Loan Facility will amortize in quarterly installments, commencing on the last day of the first full fiscal quarter ended after the 2025 Credit Agreement Closing Date, equaling an aggregate amount of $6.3 million for the first 2 years following the 2025 Credit Agreement Closing Date, (ii) $ 12.5 million for the third and fourth years following the 2025 Credit Agreement Closing Date and (iii) $25.0 million for the fifth year following the 2025 Credit Agreement Closing Date, with the balance payable on the final maturity date.</w:t>
      </w:r>
    </w:p>
    <w:p>
      <w:pPr>
        <w:spacing w:after="0" w:line="20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As of March 29, 2026, outstanding borrowings under the 2025 Credit Agreement totaled $349.3 million, comprised of $245.3 million under the 2025 Term Loan Facility, and $ 104.0 million under the 2025 Revolver Facility. Letters of credit issued under the 2025 Revolver Facility totaled $4.4 million. As a result, as of March 29, 2026, the Company had $41.6 million available under the 2025 Revolver Facility.</w:t>
      </w:r>
    </w:p>
    <w:p>
      <w:pPr>
        <w:spacing w:after="0" w:line="198"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As of December 28, 2025, outstanding borrowings under the 2025 Credit Agreement totaled $ 336.9 million, comprised of $246.9 million under the 2025 Term Loan Facility, and $90.0 million under the 2025 Revolver Facility. Letters of credit issued under the 2025 Revolver Facility totaled</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$4.4 million. As a result, as of December 28, 2025, the Company had $55.6 million available under the 2025 Revolver Facility.</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Discount, Debt Issuance Costs and Interest Expense</w:t>
      </w:r>
    </w:p>
    <w:p>
      <w:pPr>
        <w:spacing w:after="0" w:line="26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Pursuant to the 2025 Credit Agreement, the Company capitalized deferred financing costs and issuance discounts of $1.3 million. The remaining unamortized costs under the 2023 Credit Agreement were $2.0 million. The total deferred financing costs and issuance discounts of $3.3 million will be amortized over the term of the 2025 Credit Agreement.</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amortized an immaterial amount of deferred financing costs during both the quarters ended March 29, 2026 and March 30, 2025, which is included in interest expense in the condensed consolidated statements of operations. In addition, the Company also amortized $0.2 million and $0.1 million in original issue discount related to the long-term debt during the quarters ended March 29, 2026 and March 30, 2025, respectively, which is included in interest expense in the condensed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Total interest expense was $5.6 million and $5.7 million for the quarters ended March 29, 2026 and March 30, 2025,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Fair Value of Debt</w:t>
      </w:r>
    </w:p>
    <w:p>
      <w:pPr>
        <w:spacing w:after="0" w:line="247"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As of March 29, 2026 and December 28, 2025,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Guarantees and Covenants</w:t>
      </w:r>
    </w:p>
    <w:p>
      <w:pPr>
        <w:spacing w:after="0" w:line="2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2025 Credit Agreement contains customary representations and warranties, events of default, reporting and other affirmative covenants and negative covenants, including limitations on indebtedness, liens, investments, negative pledges, dividends, junior financings and other fundamental changes. The 2025 Facilities are guaranteed, subject to customary exceptions, by all of the Borrower’s wholly-owned domestic restricted subsidiaries and Holdings, and are secured by a lien on substantially all of the Borrower’s assets, including fixed assets and intangibles, and the assets of the Guarantors, in each case, subject to customary exceptions. Failure to comply with these covenants and restrictions could result in an event of default under the 2025 Credit Agreement. In such an event, all amounts outstanding under the 2025 Credit Agreement, together with any accrued interest, could then be declared immediately due and payable.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March 29, 2026, the Company was in compliance with the financial covenants in the 2025 Credit Agreement.</w:t>
      </w:r>
    </w:p>
    <w:p>
      <w:pPr>
        <w:spacing w:after="0" w:line="246" w:lineRule="exact"/>
        <w:rPr>
          <w:sz w:val="20"/>
          <w:szCs w:val="20"/>
          <w:color w:val="auto"/>
        </w:rPr>
      </w:pPr>
    </w:p>
    <w:p>
      <w:pPr>
        <w:spacing w:after="0"/>
        <w:tabs>
          <w:tab w:leader="none" w:pos="1320" w:val="left"/>
        </w:tabs>
        <w:rPr>
          <w:sz w:val="20"/>
          <w:szCs w:val="20"/>
          <w:color w:val="auto"/>
        </w:rPr>
      </w:pPr>
      <w:r>
        <w:rPr>
          <w:rFonts w:ascii="Arial" w:cs="Arial" w:eastAsia="Arial" w:hAnsi="Arial"/>
          <w:sz w:val="25"/>
          <w:szCs w:val="25"/>
          <w:b w:val="1"/>
          <w:bCs w:val="1"/>
          <w:color w:val="414042"/>
        </w:rPr>
        <w:t>NOTE 9.</w:t>
        <w:tab/>
        <w:t>NON-CONTROLLING INTERESTS</w:t>
      </w:r>
    </w:p>
    <w:p>
      <w:pPr>
        <w:spacing w:after="0" w:line="2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the sole managing member of Portillo's OpCo, and as a result, consolidate the financial results of Portillo's OpCo. We report a non-controlling interest to reflect the entitlement of the pre-IPO LLC Members who retained their equity ownership in Portillo's OpCo (the "pre-IPO LLC Members"). Changes in our ownership interest in Portillo's OpCo while we retain our controlling interest in Portillo's OpCo will be accounted for as equity transactions. As such, future redemptions or direct exchanges of LLC Units in Portillo's OpCo by the pre-IPO LLC members will result in a change in ownership and reduce the amount recorded as non-controlling interest and increase additional paid-in capital.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LLC interest ownership by Portillo's Inc. and pre-IPO LLC members: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0" w:type="dxa"/>
            <w:vAlign w:val="bottom"/>
          </w:tcPr>
          <w:p>
            <w:pPr>
              <w:spacing w:after="0"/>
              <w:rPr>
                <w:sz w:val="19"/>
                <w:szCs w:val="19"/>
                <w:color w:val="auto"/>
              </w:rPr>
            </w:pPr>
          </w:p>
        </w:tc>
        <w:tc>
          <w:tcPr>
            <w:tcW w:w="338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6"/>
                <w:szCs w:val="16"/>
                <w:b w:val="1"/>
                <w:bCs w:val="1"/>
                <w:color w:val="auto"/>
              </w:rPr>
              <w:t>March 29, 2026</w:t>
            </w:r>
          </w:p>
        </w:tc>
        <w:tc>
          <w:tcPr>
            <w:tcW w:w="80" w:type="dxa"/>
            <w:vAlign w:val="bottom"/>
          </w:tcPr>
          <w:p>
            <w:pPr>
              <w:spacing w:after="0"/>
              <w:rPr>
                <w:sz w:val="19"/>
                <w:szCs w:val="19"/>
                <w:color w:val="auto"/>
              </w:rPr>
            </w:pPr>
          </w:p>
        </w:tc>
        <w:tc>
          <w:tcPr>
            <w:tcW w:w="33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December 28, 2025</w:t>
            </w:r>
          </w:p>
        </w:tc>
      </w:tr>
      <w:tr>
        <w:trPr>
          <w:trHeight w:val="236"/>
        </w:trPr>
        <w:tc>
          <w:tcPr>
            <w:tcW w:w="4400" w:type="dxa"/>
            <w:vAlign w:val="bottom"/>
          </w:tcPr>
          <w:p>
            <w:pPr>
              <w:spacing w:after="0"/>
              <w:rPr>
                <w:sz w:val="20"/>
                <w:szCs w:val="20"/>
                <w:color w:val="auto"/>
              </w:rPr>
            </w:pP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LLC Units</w:t>
            </w:r>
          </w:p>
        </w:tc>
        <w:tc>
          <w:tcPr>
            <w:tcW w:w="1800" w:type="dxa"/>
            <w:vAlign w:val="bottom"/>
            <w:gridSpan w:val="2"/>
          </w:tcPr>
          <w:p>
            <w:pPr>
              <w:ind w:left="340"/>
              <w:spacing w:after="0"/>
              <w:rPr>
                <w:sz w:val="20"/>
                <w:szCs w:val="20"/>
                <w:color w:val="auto"/>
              </w:rPr>
            </w:pPr>
            <w:r>
              <w:rPr>
                <w:rFonts w:ascii="Arial" w:cs="Arial" w:eastAsia="Arial" w:hAnsi="Arial"/>
                <w:sz w:val="16"/>
                <w:szCs w:val="16"/>
                <w:b w:val="1"/>
                <w:bCs w:val="1"/>
                <w:color w:val="auto"/>
              </w:rPr>
              <w:t>Ownership %</w:t>
            </w: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LLC Units</w:t>
            </w:r>
          </w:p>
        </w:tc>
        <w:tc>
          <w:tcPr>
            <w:tcW w:w="1720" w:type="dxa"/>
            <w:vAlign w:val="bottom"/>
          </w:tcPr>
          <w:p>
            <w:pPr>
              <w:jc w:val="right"/>
              <w:ind w:right="259"/>
              <w:spacing w:after="0"/>
              <w:rPr>
                <w:sz w:val="20"/>
                <w:szCs w:val="20"/>
                <w:color w:val="auto"/>
              </w:rPr>
            </w:pPr>
            <w:r>
              <w:rPr>
                <w:rFonts w:ascii="Arial" w:cs="Arial" w:eastAsia="Arial" w:hAnsi="Arial"/>
                <w:sz w:val="16"/>
                <w:szCs w:val="16"/>
                <w:b w:val="1"/>
                <w:bCs w:val="1"/>
                <w:color w:val="auto"/>
              </w:rPr>
              <w:t>Ownership %</w:t>
            </w:r>
          </w:p>
        </w:tc>
      </w:tr>
      <w:tr>
        <w:trPr>
          <w:trHeight w:val="240"/>
        </w:trPr>
        <w:tc>
          <w:tcPr>
            <w:tcW w:w="44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Portillo's Inc.</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72,159,742</w:t>
            </w:r>
          </w:p>
        </w:tc>
        <w:tc>
          <w:tcPr>
            <w:tcW w:w="80" w:type="dxa"/>
            <w:vAlign w:val="bottom"/>
            <w:tcBorders>
              <w:top w:val="single" w:sz="8" w:color="DBDBDB"/>
            </w:tcBorders>
            <w:shd w:val="clear" w:color="auto" w:fill="DBDBDB"/>
          </w:tcPr>
          <w:p>
            <w:pPr>
              <w:spacing w:after="0"/>
              <w:rPr>
                <w:sz w:val="20"/>
                <w:szCs w:val="20"/>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95.5 %</w:t>
            </w:r>
          </w:p>
        </w:tc>
        <w:tc>
          <w:tcPr>
            <w:tcW w:w="80" w:type="dxa"/>
            <w:vAlign w:val="bottom"/>
            <w:tcBorders>
              <w:top w:val="single" w:sz="8" w:color="DBDBDB"/>
            </w:tcBorders>
            <w:shd w:val="clear" w:color="auto" w:fill="DBDBDB"/>
          </w:tcPr>
          <w:p>
            <w:pPr>
              <w:spacing w:after="0"/>
              <w:rPr>
                <w:sz w:val="20"/>
                <w:szCs w:val="20"/>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71,971,736</w:t>
            </w:r>
          </w:p>
        </w:tc>
        <w:tc>
          <w:tcPr>
            <w:tcW w:w="80" w:type="dxa"/>
            <w:vAlign w:val="bottom"/>
            <w:tcBorders>
              <w:top w:val="single" w:sz="8" w:color="DBDBDB"/>
            </w:tcBorders>
            <w:shd w:val="clear" w:color="auto" w:fill="DBDBDB"/>
          </w:tcPr>
          <w:p>
            <w:pPr>
              <w:spacing w:after="0"/>
              <w:rPr>
                <w:sz w:val="20"/>
                <w:szCs w:val="20"/>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95.4 %</w:t>
            </w:r>
          </w:p>
        </w:tc>
      </w:tr>
      <w:tr>
        <w:trPr>
          <w:trHeight w:val="236"/>
        </w:trPr>
        <w:tc>
          <w:tcPr>
            <w:tcW w:w="4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pre-IPO LLC Members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3,424,546</w:t>
            </w:r>
          </w:p>
        </w:tc>
        <w:tc>
          <w:tcPr>
            <w:tcW w:w="80" w:type="dxa"/>
            <w:vAlign w:val="bottom"/>
            <w:tcBorders>
              <w:bottom w:val="single" w:sz="8" w:color="DBDBDB"/>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4.5 %</w:t>
            </w:r>
          </w:p>
        </w:tc>
        <w:tc>
          <w:tcPr>
            <w:tcW w:w="80" w:type="dxa"/>
            <w:vAlign w:val="bottom"/>
            <w:tcBorders>
              <w:bottom w:val="single" w:sz="8" w:color="DBDBDB"/>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3,442,335</w:t>
            </w:r>
          </w:p>
        </w:tc>
        <w:tc>
          <w:tcPr>
            <w:tcW w:w="80" w:type="dxa"/>
            <w:vAlign w:val="bottom"/>
            <w:tcBorders>
              <w:bottom w:val="single" w:sz="8" w:color="DBDBDB"/>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r>
      <w:tr>
        <w:trPr>
          <w:trHeight w:val="268"/>
        </w:trPr>
        <w:tc>
          <w:tcPr>
            <w:tcW w:w="4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75,584,288</w:t>
            </w:r>
          </w:p>
        </w:tc>
        <w:tc>
          <w:tcPr>
            <w:tcW w:w="80" w:type="dxa"/>
            <w:vAlign w:val="bottom"/>
            <w:tcBorders>
              <w:bottom w:val="single" w:sz="8" w:color="DBDBDB"/>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75,414,071</w:t>
            </w:r>
          </w:p>
        </w:tc>
        <w:tc>
          <w:tcPr>
            <w:tcW w:w="80" w:type="dxa"/>
            <w:vAlign w:val="bottom"/>
            <w:tcBorders>
              <w:bottom w:val="single" w:sz="8" w:color="DBDBDB"/>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4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income (loss) to Portillo's Inc. and the pre-IPO LLC Members. The pre-IPO LLC Members' weighted average ownership percentage for the quarters ended March 29, 2026 and March 30, 2025 was 4.6% and 14.4%, respectively.</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effects of changes in ownership in Portillo's OpCo on the Company’s equity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Pr>
          <w:p>
            <w:pPr>
              <w:spacing w:after="0"/>
              <w:rPr>
                <w:sz w:val="19"/>
                <w:szCs w:val="19"/>
                <w:color w:val="auto"/>
              </w:rPr>
            </w:pPr>
          </w:p>
        </w:tc>
        <w:tc>
          <w:tcPr>
            <w:tcW w:w="4220" w:type="dxa"/>
            <w:vAlign w:val="bottom"/>
            <w:gridSpan w:val="5"/>
          </w:tcPr>
          <w:p>
            <w:pPr>
              <w:jc w:val="right"/>
              <w:ind w:right="145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7020" w:type="dxa"/>
            <w:vAlign w:val="bottom"/>
            <w:tcBorders>
              <w:bottom w:val="single" w:sz="8" w:color="DBDBDB"/>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29, 2026</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March 30, 2025</w:t>
            </w:r>
          </w:p>
        </w:tc>
      </w:tr>
      <w:tr>
        <w:trPr>
          <w:trHeight w:val="240"/>
        </w:trPr>
        <w:tc>
          <w:tcPr>
            <w:tcW w:w="7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income attributable to Portillo's Inc.</w:t>
            </w:r>
          </w:p>
        </w:tc>
        <w:tc>
          <w:tcPr>
            <w:tcW w:w="1640" w:type="dxa"/>
            <w:vAlign w:val="bottom"/>
            <w:shd w:val="clear" w:color="auto" w:fill="DBDBDB"/>
          </w:tcPr>
          <w:p>
            <w:pPr>
              <w:jc w:val="right"/>
              <w:ind w:right="1439"/>
              <w:spacing w:after="0"/>
              <w:rPr>
                <w:sz w:val="20"/>
                <w:szCs w:val="20"/>
                <w:color w:val="auto"/>
              </w:rPr>
            </w:pPr>
            <w:r>
              <w:rPr>
                <w:rFonts w:ascii="Arial" w:cs="Arial" w:eastAsia="Arial" w:hAnsi="Arial"/>
                <w:sz w:val="16"/>
                <w:szCs w:val="16"/>
                <w:color w:val="auto"/>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3,313</w:t>
            </w:r>
          </w:p>
        </w:tc>
      </w:tr>
      <w:tr>
        <w:trPr>
          <w:trHeight w:val="235"/>
        </w:trPr>
        <w:tc>
          <w:tcPr>
            <w:tcW w:w="7020" w:type="dxa"/>
            <w:vAlign w:val="bottom"/>
          </w:tcPr>
          <w:p>
            <w:pPr>
              <w:ind w:left="140"/>
              <w:spacing w:after="0"/>
              <w:rPr>
                <w:sz w:val="20"/>
                <w:szCs w:val="20"/>
                <w:color w:val="auto"/>
              </w:rPr>
            </w:pPr>
            <w:r>
              <w:rPr>
                <w:rFonts w:ascii="Arial" w:cs="Arial" w:eastAsia="Arial" w:hAnsi="Arial"/>
                <w:sz w:val="16"/>
                <w:szCs w:val="16"/>
                <w:color w:val="auto"/>
              </w:rPr>
              <w:t>Activity under equity-based compensation plans</w:t>
            </w:r>
          </w:p>
        </w:tc>
        <w:tc>
          <w:tcPr>
            <w:tcW w:w="16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652</w:t>
            </w:r>
          </w:p>
        </w:tc>
      </w:tr>
      <w:tr>
        <w:trPr>
          <w:trHeight w:val="251"/>
        </w:trPr>
        <w:tc>
          <w:tcPr>
            <w:tcW w:w="70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Non-controlling interest adjustment</w:t>
            </w:r>
          </w:p>
        </w:tc>
        <w:tc>
          <w:tcPr>
            <w:tcW w:w="1640" w:type="dxa"/>
            <w:vAlign w:val="bottom"/>
            <w:shd w:val="clear" w:color="auto" w:fill="DBDBDB"/>
          </w:tcPr>
          <w:p>
            <w:pPr>
              <w:spacing w:after="0"/>
              <w:rPr>
                <w:sz w:val="21"/>
                <w:szCs w:val="21"/>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w:t>
            </w:r>
          </w:p>
        </w:tc>
      </w:tr>
      <w:tr>
        <w:trPr>
          <w:trHeight w:val="202"/>
        </w:trPr>
        <w:tc>
          <w:tcPr>
            <w:tcW w:w="7020" w:type="dxa"/>
            <w:vAlign w:val="bottom"/>
          </w:tcPr>
          <w:p>
            <w:pPr>
              <w:ind w:left="140"/>
              <w:spacing w:after="0"/>
              <w:rPr>
                <w:sz w:val="20"/>
                <w:szCs w:val="20"/>
                <w:color w:val="auto"/>
              </w:rPr>
            </w:pPr>
            <w:r>
              <w:rPr>
                <w:rFonts w:ascii="Arial" w:cs="Arial" w:eastAsia="Arial" w:hAnsi="Arial"/>
                <w:sz w:val="16"/>
                <w:szCs w:val="16"/>
                <w:color w:val="auto"/>
              </w:rPr>
              <w:t>Establishment of liabilities under Tax Receivable Agreement and related changes to deferred</w:t>
            </w: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7"/>
        </w:trPr>
        <w:tc>
          <w:tcPr>
            <w:tcW w:w="70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tax assets associated with increases in tax basis</w:t>
            </w:r>
          </w:p>
        </w:tc>
        <w:tc>
          <w:tcPr>
            <w:tcW w:w="1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7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effect of changes in ownership interest on equity attributable to Portillo's Inc.</w:t>
            </w:r>
          </w:p>
        </w:tc>
        <w:tc>
          <w:tcPr>
            <w:tcW w:w="1640" w:type="dxa"/>
            <w:vAlign w:val="bottom"/>
            <w:tcBorders>
              <w:bottom w:val="single" w:sz="8" w:color="auto"/>
            </w:tcBorders>
            <w:shd w:val="clear" w:color="auto" w:fill="DBDBDB"/>
          </w:tcPr>
          <w:p>
            <w:pPr>
              <w:jc w:val="right"/>
              <w:ind w:right="14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4,147</w:t>
            </w:r>
          </w:p>
        </w:tc>
      </w:tr>
      <w:tr>
        <w:trPr>
          <w:trHeight w:val="20"/>
        </w:trPr>
        <w:tc>
          <w:tcPr>
            <w:tcW w:w="702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The Company entered into a joint venture agreement to develop and operate a restaurant at DFW airport, which is expected to commence operations in the second quarter of 2026. The Company holds a 65% ownership interest in AP Dogs. In the quarter ended March 29, 2026, $0.4 million of contributions from non-controlling interests were received. There were no contributions from non-controlling interests during the quarter ended March 30, 2025.</w:t>
      </w:r>
    </w:p>
    <w:p>
      <w:pPr>
        <w:spacing w:after="0" w:line="19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10.</w:t>
      </w:r>
      <w:r>
        <w:rPr>
          <w:sz w:val="20"/>
          <w:szCs w:val="20"/>
          <w:color w:val="auto"/>
        </w:rPr>
        <w:tab/>
      </w:r>
      <w:r>
        <w:rPr>
          <w:rFonts w:ascii="Arial" w:cs="Arial" w:eastAsia="Arial" w:hAnsi="Arial"/>
          <w:sz w:val="24"/>
          <w:szCs w:val="24"/>
          <w:b w:val="1"/>
          <w:bCs w:val="1"/>
          <w:color w:val="414042"/>
        </w:rPr>
        <w:t>EQUITY-BASED COMPENSATION</w:t>
      </w:r>
    </w:p>
    <w:p>
      <w:pPr>
        <w:spacing w:after="0" w:line="2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Equity-based compensation expense is calculated based on equity awards ultimately expected to vest and is reduced for estimated forfeitures. Forfeitures are revised, if necessary, in subsequent periods if actual forfeitures differ from those estimates and an adjustment to equity-based compensation expense will be recognized at that time.</w:t>
      </w:r>
    </w:p>
    <w:p>
      <w:pPr>
        <w:spacing w:after="0" w:line="198"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Equity-based compensation expense included in the Company’s condensed consolidated statements of operations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60" w:type="dxa"/>
            <w:vAlign w:val="bottom"/>
            <w:gridSpan w:val="4"/>
          </w:tcPr>
          <w:p>
            <w:pPr>
              <w:jc w:val="right"/>
              <w:ind w:right="147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7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29, 2026</w:t>
            </w:r>
          </w:p>
        </w:tc>
        <w:tc>
          <w:tcPr>
            <w:tcW w:w="280" w:type="dxa"/>
            <w:vAlign w:val="bottom"/>
          </w:tcPr>
          <w:p>
            <w:pPr>
              <w:spacing w:after="0"/>
              <w:rPr>
                <w:sz w:val="21"/>
                <w:szCs w:val="21"/>
                <w:color w:val="auto"/>
              </w:rPr>
            </w:pPr>
          </w:p>
        </w:tc>
        <w:tc>
          <w:tcPr>
            <w:tcW w:w="17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30, 2025</w:t>
            </w:r>
          </w:p>
        </w:tc>
      </w:tr>
      <w:tr>
        <w:trPr>
          <w:trHeight w:val="240"/>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Labor</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w:t>
            </w:r>
          </w:p>
        </w:tc>
      </w:tr>
      <w:tr>
        <w:trPr>
          <w:trHeight w:val="237"/>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w:t>
            </w:r>
          </w:p>
        </w:tc>
      </w:tr>
      <w:tr>
        <w:trPr>
          <w:trHeight w:val="268"/>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equity-based compensation expense</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3,230</w:t>
            </w:r>
          </w:p>
        </w:tc>
        <w:tc>
          <w:tcPr>
            <w:tcW w:w="10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1,950</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quarter ended March 29, 2026, the Company granted 248,045 RSUs, under the Portillo's Inc. 2021 Equity Incentive Plan (the "2021 Plan") to certain employees, including the Company's Chief Executive Officer, Brett Patterson, and the Company's former Interim Chief Executive Officer, Michael A. Miles Jr. During the quarter ended March 29, 2026, we also granted 291,007 RSUs to non-employee directors under the 2021 Plan. The weighted average fair value of these awards was determined using the Company's closing stock price on the applicable grant dates, which was $4.97. Outstanding time-based RSUs generally vest equally over periods ranging from one to three years on each of the anniversaries of the date of grant subject to continued service on such date.</w:t>
      </w:r>
    </w:p>
    <w:p>
      <w:pPr>
        <w:spacing w:after="0" w:line="169" w:lineRule="exact"/>
        <w:rPr>
          <w:sz w:val="20"/>
          <w:szCs w:val="20"/>
          <w:color w:val="auto"/>
        </w:rPr>
      </w:pPr>
    </w:p>
    <w:p>
      <w:pPr>
        <w:ind w:right="80"/>
        <w:spacing w:after="0" w:line="247" w:lineRule="exact"/>
        <w:rPr>
          <w:sz w:val="20"/>
          <w:szCs w:val="20"/>
          <w:color w:val="auto"/>
        </w:rPr>
      </w:pPr>
      <w:r>
        <w:rPr>
          <w:rFonts w:ascii="Arial" w:cs="Arial" w:eastAsia="Arial" w:hAnsi="Arial"/>
          <w:sz w:val="18"/>
          <w:szCs w:val="18"/>
          <w:color w:val="auto"/>
        </w:rPr>
        <w:t>During the quarter, the Company recognized accelerated and incremental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the modification of outstanding equity awards in connection with the announced retirement of our former Interim Chief Executive Officer and Director.</w:t>
      </w:r>
    </w:p>
    <w:p>
      <w:pPr>
        <w:spacing w:after="0" w:line="216"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11.</w:t>
      </w:r>
      <w:r>
        <w:rPr>
          <w:sz w:val="20"/>
          <w:szCs w:val="20"/>
          <w:color w:val="auto"/>
        </w:rPr>
        <w:tab/>
      </w:r>
      <w:r>
        <w:rPr>
          <w:rFonts w:ascii="Arial" w:cs="Arial" w:eastAsia="Arial" w:hAnsi="Arial"/>
          <w:sz w:val="24"/>
          <w:szCs w:val="24"/>
          <w:b w:val="1"/>
          <w:bCs w:val="1"/>
          <w:color w:val="414042"/>
        </w:rPr>
        <w:t>INCOME TAXES</w:t>
      </w:r>
    </w:p>
    <w:p>
      <w:pPr>
        <w:spacing w:after="0" w:line="2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the sole managing member of Portillo's OpCo, and as a result, consolidate the financial results of Portillo's OpCo. Portillo's OpCo is treated as a partnership for U.S. federal and most applicable state and local income tax purposes. As a partnership, Portillo's OpCo is generally not subject to U.S. federal and state and local income taxes. Any taxable income or loss generated by Portillo's OpCo is passed through to and included in the taxable income or loss of its members, including us, based upon the respective member's ownership percentage in Portillo's OpCo. We are subject to U.S. federal income taxes, in addition to state and local income taxes with respect to our allocable share of any taxable income or loss of Portillo's OpCo, as well as any stand-alone income or loss generated by Portillo's Inc.</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w:t>
      </w:r>
    </w:p>
    <w:p>
      <w:pPr>
        <w:spacing w:after="0" w:line="2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effective income tax rate for the quarters ended March 29, 2026 and March 30, 2025 was 24.4% and 25.4%, respectively. The decrease in our effective income tax rate for the quarter ended March 29, 2026 compared to the quarter ended March 30, 2025 was primarily driven by an increase in the valuation allowance related to equity-based compensation expense for certain executive officers. This decreases the effective income tax rate because the Company recorded a pre-tax loss for the quarter ended March 29, 2026. This decrease is partially offset by an increase in the Company's ownership interest in Portillo's OpCo, which increases its share of taxable income (loss) of Portillo's OpCo. The Company’s annual effective tax rate differs from the statutory rate of 21% primarily because of state and local taxes, deferred tax adjustments and impacts from equity-based award activity partially offset by the portion of Portillo's OpCo earnings that are attributable to non-controlling interest that the Company is not liable for federal or state income taxes.</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evaluate the realizability of our deferred tax assets on a quarterly basis and establish valuation allowances when it is more likely than not that all or a portion of a deferred tax asset may not be realized. As of March 29, 2026, the Company concluded, based on the weight of all available positive and negative evidence, that all of its deferred tax assets (except for those deferred tax assets relating to the basis difference in its investment in Portillo's OpCo that will never be realizable or only reverse upon the eventual sale of its interest in Portillo's OpCo, which we expect would result in a capital loss which we do not expect to be able to utilize) are more likely than not to be realized.</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4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As of March 29, 2026, we estimated that our obligation for future payments under the TRA liability totaled $344.2 million. During the quarter ended March 29, 2026 and March 30, 2025, the Company made TRA payments of $7.9 million relating to tax year 2024 and $ 7.7 million relating to tax year 2023, respectively. We expect a payment of $1.3 million relating to tax year 2025 to be paid within the next 12 months.</w:t>
      </w:r>
    </w:p>
    <w:p>
      <w:pPr>
        <w:spacing w:after="0" w:line="174"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12.</w:t>
        <w:tab/>
        <w:t>EARNINGS PER SHARE</w:t>
      </w:r>
    </w:p>
    <w:p>
      <w:pPr>
        <w:spacing w:after="0" w:line="27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Basic net (loss) earnings per share of Class A common stock is computed by dividing net (loss) income attributable to Portillo's Inc. by the weighted-average number of Class A common stock outstanding.</w:t>
      </w:r>
    </w:p>
    <w:p>
      <w:pPr>
        <w:spacing w:after="0" w:line="18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Diluted net (loss) earnings per share is computed by dividing net (loss) income attributable to Portillo's Inc. by the weighted-average number of dilutive securities, using the treasury stock method.</w:t>
      </w:r>
    </w:p>
    <w:p>
      <w:pPr>
        <w:spacing w:after="0" w:line="18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computations of basic and diluted net (loss) earnings per share for the quarters ended March 29, 2026 and March 30, 2025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gridSpan w:val="4"/>
          </w:tcPr>
          <w:p>
            <w:pPr>
              <w:jc w:val="right"/>
              <w:ind w:right="145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7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29, 2026</w:t>
            </w:r>
          </w:p>
        </w:tc>
        <w:tc>
          <w:tcPr>
            <w:tcW w:w="280" w:type="dxa"/>
            <w:vAlign w:val="bottom"/>
          </w:tcPr>
          <w:p>
            <w:pPr>
              <w:spacing w:after="0"/>
              <w:rPr>
                <w:sz w:val="21"/>
                <w:szCs w:val="21"/>
                <w:color w:val="auto"/>
              </w:rPr>
            </w:pPr>
          </w:p>
        </w:tc>
        <w:tc>
          <w:tcPr>
            <w:tcW w:w="17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30, 2025</w:t>
            </w:r>
          </w:p>
        </w:tc>
      </w:tr>
      <w:tr>
        <w:trPr>
          <w:trHeight w:val="240"/>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(loss) income</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3,990</w:t>
            </w:r>
          </w:p>
        </w:tc>
      </w:tr>
      <w:tr>
        <w:trPr>
          <w:trHeight w:val="236"/>
        </w:trPr>
        <w:tc>
          <w:tcPr>
            <w:tcW w:w="70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r>
      <w:tr>
        <w:trPr>
          <w:trHeight w:val="268"/>
        </w:trPr>
        <w:tc>
          <w:tcPr>
            <w:tcW w:w="7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(loss) income attributable to Portillo's Inc.</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3,313</w:t>
            </w:r>
          </w:p>
        </w:tc>
      </w:tr>
      <w:tr>
        <w:trPr>
          <w:trHeight w:val="20"/>
        </w:trPr>
        <w:tc>
          <w:tcPr>
            <w:tcW w:w="70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43"/>
        </w:trPr>
        <w:tc>
          <w:tcPr>
            <w:tcW w:w="7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w:t>
            </w:r>
          </w:p>
        </w:tc>
        <w:tc>
          <w:tcPr>
            <w:tcW w:w="280" w:type="dxa"/>
            <w:vAlign w:val="bottom"/>
            <w:shd w:val="clear" w:color="auto" w:fill="DBDBDB"/>
          </w:tcPr>
          <w:p>
            <w:pPr>
              <w:spacing w:after="0"/>
              <w:rPr>
                <w:sz w:val="21"/>
                <w:szCs w:val="21"/>
                <w:color w:val="auto"/>
              </w:rPr>
            </w:pPr>
          </w:p>
        </w:tc>
        <w:tc>
          <w:tcPr>
            <w:tcW w:w="17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780" w:type="dxa"/>
            <w:vAlign w:val="bottom"/>
            <w:shd w:val="clear" w:color="auto" w:fill="DBDBDB"/>
          </w:tcPr>
          <w:p>
            <w:pPr>
              <w:spacing w:after="0"/>
              <w:rPr>
                <w:sz w:val="21"/>
                <w:szCs w:val="21"/>
                <w:color w:val="auto"/>
              </w:rPr>
            </w:pPr>
          </w:p>
        </w:tc>
      </w:tr>
      <w:tr>
        <w:trPr>
          <w:trHeight w:val="235"/>
        </w:trPr>
        <w:tc>
          <w:tcPr>
            <w:tcW w:w="702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outstanding-basic</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72,076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63,838</w:t>
            </w:r>
          </w:p>
        </w:tc>
      </w:tr>
      <w:tr>
        <w:trPr>
          <w:trHeight w:val="251"/>
        </w:trPr>
        <w:tc>
          <w:tcPr>
            <w:tcW w:w="7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share awards</w:t>
            </w:r>
          </w:p>
        </w:tc>
        <w:tc>
          <w:tcPr>
            <w:tcW w:w="280" w:type="dxa"/>
            <w:vAlign w:val="bottom"/>
            <w:shd w:val="clear" w:color="auto" w:fill="DBDBDB"/>
          </w:tcPr>
          <w:p>
            <w:pPr>
              <w:spacing w:after="0"/>
              <w:rPr>
                <w:sz w:val="21"/>
                <w:szCs w:val="21"/>
                <w:color w:val="auto"/>
              </w:rPr>
            </w:pPr>
          </w:p>
        </w:tc>
        <w:tc>
          <w:tcPr>
            <w:tcW w:w="18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2,631</w:t>
            </w:r>
          </w:p>
        </w:tc>
      </w:tr>
      <w:tr>
        <w:trPr>
          <w:trHeight w:val="235"/>
        </w:trPr>
        <w:tc>
          <w:tcPr>
            <w:tcW w:w="702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outstanding-diluted</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72,076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66,468</w:t>
            </w:r>
          </w:p>
        </w:tc>
      </w:tr>
      <w:tr>
        <w:trPr>
          <w:trHeight w:val="278"/>
        </w:trPr>
        <w:tc>
          <w:tcPr>
            <w:tcW w:w="7020" w:type="dxa"/>
            <w:vAlign w:val="bottom"/>
            <w:shd w:val="clear" w:color="auto" w:fill="DBDBDB"/>
          </w:tcPr>
          <w:p>
            <w:pPr>
              <w:spacing w:after="0"/>
              <w:rPr>
                <w:sz w:val="24"/>
                <w:szCs w:val="24"/>
                <w:color w:val="auto"/>
              </w:rPr>
            </w:pPr>
          </w:p>
        </w:tc>
        <w:tc>
          <w:tcPr>
            <w:tcW w:w="280" w:type="dxa"/>
            <w:vAlign w:val="bottom"/>
            <w:shd w:val="clear" w:color="auto" w:fill="DBDBDB"/>
          </w:tcPr>
          <w:p>
            <w:pPr>
              <w:spacing w:after="0"/>
              <w:rPr>
                <w:sz w:val="24"/>
                <w:szCs w:val="24"/>
                <w:color w:val="auto"/>
              </w:rPr>
            </w:pPr>
          </w:p>
        </w:tc>
        <w:tc>
          <w:tcPr>
            <w:tcW w:w="178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280" w:type="dxa"/>
            <w:vAlign w:val="bottom"/>
            <w:shd w:val="clear" w:color="auto" w:fill="DBDBDB"/>
          </w:tcPr>
          <w:p>
            <w:pPr>
              <w:spacing w:after="0"/>
              <w:rPr>
                <w:sz w:val="24"/>
                <w:szCs w:val="24"/>
                <w:color w:val="auto"/>
              </w:rPr>
            </w:pPr>
          </w:p>
        </w:tc>
        <w:tc>
          <w:tcPr>
            <w:tcW w:w="1780" w:type="dxa"/>
            <w:vAlign w:val="bottom"/>
            <w:shd w:val="clear" w:color="auto" w:fill="DBDBDB"/>
          </w:tcPr>
          <w:p>
            <w:pPr>
              <w:spacing w:after="0"/>
              <w:rPr>
                <w:sz w:val="24"/>
                <w:szCs w:val="24"/>
                <w:color w:val="auto"/>
              </w:rPr>
            </w:pPr>
          </w:p>
        </w:tc>
      </w:tr>
      <w:tr>
        <w:trPr>
          <w:trHeight w:val="235"/>
        </w:trPr>
        <w:tc>
          <w:tcPr>
            <w:tcW w:w="7020" w:type="dxa"/>
            <w:vAlign w:val="bottom"/>
          </w:tcPr>
          <w:p>
            <w:pPr>
              <w:ind w:left="20"/>
              <w:spacing w:after="0"/>
              <w:rPr>
                <w:sz w:val="20"/>
                <w:szCs w:val="20"/>
                <w:color w:val="auto"/>
              </w:rPr>
            </w:pPr>
            <w:r>
              <w:rPr>
                <w:rFonts w:ascii="Arial" w:cs="Arial" w:eastAsia="Arial" w:hAnsi="Arial"/>
                <w:sz w:val="16"/>
                <w:szCs w:val="16"/>
                <w:color w:val="auto"/>
              </w:rPr>
              <w:t>Basic net (loss) income per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51"/>
        </w:trPr>
        <w:tc>
          <w:tcPr>
            <w:tcW w:w="7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 net (loss) income per share</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0.05</w:t>
            </w: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Shares of the Company’s Class B Common Stock do not participate in the earnings or losses of Portillo's Inc. and are therefore not participating securities. As such, separate presentation of basic and diluted earnings per share of Class B Common Stock under the two-class method has not been presented.</w:t>
      </w:r>
    </w:p>
    <w:p>
      <w:pPr>
        <w:spacing w:after="0" w:line="198" w:lineRule="exact"/>
        <w:rPr>
          <w:sz w:val="20"/>
          <w:szCs w:val="20"/>
          <w:color w:val="auto"/>
        </w:rPr>
      </w:pPr>
    </w:p>
    <w:p>
      <w:pPr>
        <w:ind w:right="620"/>
        <w:spacing w:after="0" w:line="284" w:lineRule="auto"/>
        <w:rPr>
          <w:sz w:val="20"/>
          <w:szCs w:val="20"/>
          <w:color w:val="auto"/>
        </w:rPr>
      </w:pPr>
      <w:r>
        <w:rPr>
          <w:rFonts w:ascii="Arial" w:cs="Arial" w:eastAsia="Arial" w:hAnsi="Arial"/>
          <w:sz w:val="18"/>
          <w:szCs w:val="18"/>
          <w:color w:val="auto"/>
        </w:rPr>
        <w:t>The following shares were excluded from the calculation of diluted earnings per share because they would be antidilutive or subject to performance conditions which have not been satisfied by the end of the reporting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40" w:type="dxa"/>
            <w:vAlign w:val="bottom"/>
          </w:tcPr>
          <w:p>
            <w:pPr>
              <w:spacing w:after="0"/>
              <w:rPr>
                <w:sz w:val="19"/>
                <w:szCs w:val="19"/>
                <w:color w:val="auto"/>
              </w:rPr>
            </w:pPr>
          </w:p>
        </w:tc>
        <w:tc>
          <w:tcPr>
            <w:tcW w:w="4200" w:type="dxa"/>
            <w:vAlign w:val="bottom"/>
            <w:gridSpan w:val="3"/>
          </w:tcPr>
          <w:p>
            <w:pPr>
              <w:jc w:val="right"/>
              <w:ind w:right="145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7040" w:type="dxa"/>
            <w:vAlign w:val="bottom"/>
          </w:tcPr>
          <w:p>
            <w:pPr>
              <w:spacing w:after="0"/>
              <w:rPr>
                <w:sz w:val="21"/>
                <w:szCs w:val="21"/>
                <w:color w:val="auto"/>
              </w:rPr>
            </w:pPr>
          </w:p>
        </w:tc>
        <w:tc>
          <w:tcPr>
            <w:tcW w:w="2140" w:type="dxa"/>
            <w:vAlign w:val="bottom"/>
            <w:gridSpan w:val="2"/>
          </w:tcPr>
          <w:p>
            <w:pPr>
              <w:ind w:left="460"/>
              <w:spacing w:after="0"/>
              <w:rPr>
                <w:sz w:val="20"/>
                <w:szCs w:val="20"/>
                <w:color w:val="auto"/>
              </w:rPr>
            </w:pPr>
            <w:r>
              <w:rPr>
                <w:rFonts w:ascii="Arial" w:cs="Arial" w:eastAsia="Arial" w:hAnsi="Arial"/>
                <w:sz w:val="16"/>
                <w:szCs w:val="16"/>
                <w:b w:val="1"/>
                <w:bCs w:val="1"/>
                <w:color w:val="auto"/>
              </w:rPr>
              <w:t>March 29, 2026</w:t>
            </w:r>
          </w:p>
        </w:tc>
        <w:tc>
          <w:tcPr>
            <w:tcW w:w="206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30, 2025</w:t>
            </w:r>
          </w:p>
        </w:tc>
      </w:tr>
      <w:tr>
        <w:trPr>
          <w:trHeight w:val="240"/>
        </w:trPr>
        <w:tc>
          <w:tcPr>
            <w:tcW w:w="7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Performance Stock Options</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345</w:t>
            </w:r>
          </w:p>
        </w:tc>
        <w:tc>
          <w:tcPr>
            <w:tcW w:w="80" w:type="dxa"/>
            <w:vAlign w:val="bottom"/>
            <w:tcBorders>
              <w:top w:val="single" w:sz="8" w:color="DBDBDB"/>
            </w:tcBorders>
            <w:shd w:val="clear" w:color="auto" w:fill="DBDBDB"/>
          </w:tcPr>
          <w:p>
            <w:pPr>
              <w:spacing w:after="0"/>
              <w:rPr>
                <w:sz w:val="20"/>
                <w:szCs w:val="20"/>
                <w:color w:val="auto"/>
              </w:rPr>
            </w:pP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1,377</w:t>
            </w:r>
          </w:p>
        </w:tc>
      </w:tr>
      <w:tr>
        <w:trPr>
          <w:trHeight w:val="235"/>
        </w:trPr>
        <w:tc>
          <w:tcPr>
            <w:tcW w:w="7040" w:type="dxa"/>
            <w:vAlign w:val="bottom"/>
          </w:tcPr>
          <w:p>
            <w:pPr>
              <w:ind w:left="20"/>
              <w:spacing w:after="0"/>
              <w:rPr>
                <w:sz w:val="20"/>
                <w:szCs w:val="20"/>
                <w:color w:val="auto"/>
              </w:rPr>
            </w:pPr>
            <w:r>
              <w:rPr>
                <w:rFonts w:ascii="Arial" w:cs="Arial" w:eastAsia="Arial" w:hAnsi="Arial"/>
                <w:sz w:val="16"/>
                <w:szCs w:val="16"/>
                <w:color w:val="auto"/>
              </w:rPr>
              <w:t>Performance Stock Units</w:t>
            </w:r>
          </w:p>
        </w:tc>
        <w:tc>
          <w:tcPr>
            <w:tcW w:w="2060" w:type="dxa"/>
            <w:vAlign w:val="bottom"/>
          </w:tcPr>
          <w:p>
            <w:pPr>
              <w:jc w:val="right"/>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51"/>
        </w:trPr>
        <w:tc>
          <w:tcPr>
            <w:tcW w:w="7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Restricted Stock Units</w:t>
            </w: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2,055</w:t>
            </w:r>
          </w:p>
        </w:tc>
        <w:tc>
          <w:tcPr>
            <w:tcW w:w="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70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Stock Options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3,400</w:t>
            </w:r>
          </w:p>
        </w:tc>
        <w:tc>
          <w:tcPr>
            <w:tcW w:w="80" w:type="dxa"/>
            <w:vAlign w:val="bottom"/>
            <w:tcBorders>
              <w:bottom w:val="single" w:sz="8" w:color="DBDBDB"/>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r>
      <w:tr>
        <w:trPr>
          <w:trHeight w:val="268"/>
        </w:trPr>
        <w:tc>
          <w:tcPr>
            <w:tcW w:w="7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shares excluded from diluted net (loss) income per share</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6,021</w:t>
            </w:r>
          </w:p>
        </w:tc>
        <w:tc>
          <w:tcPr>
            <w:tcW w:w="80" w:type="dxa"/>
            <w:vAlign w:val="bottom"/>
            <w:tcBorders>
              <w:bottom w:val="single" w:sz="8" w:color="DBDBDB"/>
            </w:tcBorders>
            <w:shd w:val="clear" w:color="auto" w:fill="DBDBDB"/>
          </w:tcPr>
          <w:p>
            <w:pPr>
              <w:spacing w:after="0"/>
              <w:rPr>
                <w:sz w:val="22"/>
                <w:szCs w:val="22"/>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1,982</w:t>
            </w:r>
          </w:p>
        </w:tc>
      </w:tr>
      <w:tr>
        <w:trPr>
          <w:trHeight w:val="20"/>
        </w:trPr>
        <w:tc>
          <w:tcPr>
            <w:tcW w:w="7040" w:type="dxa"/>
            <w:vAlign w:val="bottom"/>
            <w:tcBorders>
              <w:top w:val="single" w:sz="8" w:color="DBDBDB"/>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13.</w:t>
        <w:tab/>
        <w:t>CONTINGENCIES</w:t>
      </w:r>
    </w:p>
    <w:p>
      <w:pPr>
        <w:spacing w:after="0" w:line="258"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including as a result of the matter described below, if any, will not have a material effect on the Company’s condensed consolidated financial statements.</w:t>
      </w:r>
    </w:p>
    <w:p>
      <w:pPr>
        <w:spacing w:after="0" w:line="19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During 2024, a former team member from one of the Company's two California restaurants filed a class action lawsuit alleging wage and hour violations and unfair competition, as well as claims under the California Private Attorneys General Act (“PAGA”). The parties agreed to settlement terms in November 2025, subject to court approval. As of March 29, 2026, a $0.8 million litigation reserve has been recorded in accounts payable on our condensed consolidated balance sheet.</w:t>
      </w:r>
    </w:p>
    <w:p>
      <w:pPr>
        <w:spacing w:after="0" w:line="21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During 2025, plaintiffs filed a wrongful death and survival action in Cook County, Illinois, arising out of a vehicle accident that occurred at a Portillo’s location in Oswego, Illinois. Discovery is expected to continue in the coming months. At this time a loss is reasonably possible but not estimable, and as a result, no litigation reserve has been recorded on our condensed consolidated balance sheet as of March 29, 2026.</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19, 2024, Maverick BJK, LLC ("Maverick"), which owns a 50% interest in C&amp;O, initiated arbitration against the Company. Maverick asserts claims for breach of contract, alleging that the sales of the Company's “Ghost Kitchen” location should have been included in C&amp;O’s financials under the terms of the operating agreement. The matter remains pending after unsuccessful mediation efforts in January and March 2026. At this time, a loss is reasonably possible but not estimable, and as a result, no litigation reserve has been recorded on our condensed consolidated balance sheet as of March 29, 2026.</w:t>
      </w:r>
    </w:p>
    <w:p>
      <w:pPr>
        <w:spacing w:after="0" w:line="201"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14.</w:t>
        <w:tab/>
        <w:t>SEGMENT INFORMATION</w:t>
      </w:r>
    </w:p>
    <w:p>
      <w:pPr>
        <w:spacing w:after="0" w:line="25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Company's chief operating decision maker (the "CODM") is its Chief Executive Officer. As the CODM reviews financial performance and allocates resources at a consolidated level on a recurring basis, the Company has one operating segment and one reportable segment.</w:t>
      </w:r>
    </w:p>
    <w:p>
      <w:pPr>
        <w:spacing w:after="0" w:line="18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CODM allocates resources and assesses performance of the Company based on net income (loss), as reported on the condensed consolidated statement of operations, which as the segment measure of profit and loss that is closest to GAAP, is the required segment measure. Net loss was $0.5 million for the quarter ended March 29, 2026 and net income was $4.0 million for the quarter ended March 30, 2025. In addition to net income (loss), the CODM also reviews revenue, operating income (loss), restaurant-level adjusted EBITDA, and adjusted EBITDA.</w:t>
      </w:r>
    </w:p>
    <w:p>
      <w:pPr>
        <w:spacing w:after="0" w:line="2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CODM reviews these measures (i) to evaluate the Company's operating results and the effectiveness of business strategies, (ii) internally as benchmarks to compare the Company's performance to its competitors and (iii) as factors in evaluating management's performance when determining incentive compensation. Additionally, the Company believes these measures are important to evaluate the performance and profitability of our restaurants, individually and in the aggregate.</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CODM does not review segment assets and segment expenses at a level different than what is reported in the Company's condensed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and condensed consolidated statement of operations. Additionally, the CODM regularly receives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about the Company's capital expenditures which are reported in the Company's condensed consolidated statement of cash flows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of property and equipment under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guest accounts for 10% or more of our revenues.</w:t>
      </w:r>
    </w:p>
    <w:p>
      <w:pPr>
        <w:spacing w:after="0" w:line="22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15.</w:t>
        <w:tab/>
        <w:t>RELATED PARTY TRANSACTIONS</w:t>
      </w:r>
    </w:p>
    <w:p>
      <w:pPr>
        <w:spacing w:after="0" w:line="25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As of March 29, 2026 and December 28, 2025 the related parties’ receivables balance consisted of $0.3 million, due from C&amp;O, which is included in accounts and tenant improvement receivables in the condensed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Olo, Inc.</w:t>
      </w:r>
    </w:p>
    <w:p>
      <w:pPr>
        <w:spacing w:after="0" w:line="26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Noah Glass, a member of the Company's Board, is the founder and CEO of Olo, Inc. ("Olo"), a platform the Company uses in connection with our mobile ordering application and delivery.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the following Olo-related costs for the quarters ended March 29, 2026 and March 30, 2025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Pr>
          <w:p>
            <w:pPr>
              <w:spacing w:after="0"/>
              <w:rPr>
                <w:sz w:val="19"/>
                <w:szCs w:val="19"/>
                <w:color w:val="auto"/>
              </w:rPr>
            </w:pPr>
          </w:p>
        </w:tc>
        <w:tc>
          <w:tcPr>
            <w:tcW w:w="382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Quarter Ended</w:t>
            </w:r>
          </w:p>
        </w:tc>
        <w:tc>
          <w:tcPr>
            <w:tcW w:w="400" w:type="dxa"/>
            <w:vAlign w:val="bottom"/>
          </w:tcPr>
          <w:p>
            <w:pPr>
              <w:spacing w:after="0"/>
              <w:rPr>
                <w:sz w:val="19"/>
                <w:szCs w:val="19"/>
                <w:color w:val="auto"/>
              </w:rPr>
            </w:pPr>
          </w:p>
        </w:tc>
      </w:tr>
      <w:tr>
        <w:trPr>
          <w:trHeight w:val="247"/>
        </w:trPr>
        <w:tc>
          <w:tcPr>
            <w:tcW w:w="7020" w:type="dxa"/>
            <w:vAlign w:val="bottom"/>
            <w:tcBorders>
              <w:bottom w:val="single" w:sz="8" w:color="DBDBDB"/>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29, 2026</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30, 2025</w:t>
            </w:r>
          </w:p>
        </w:tc>
        <w:tc>
          <w:tcPr>
            <w:tcW w:w="400" w:type="dxa"/>
            <w:vAlign w:val="bottom"/>
            <w:tcBorders>
              <w:bottom w:val="single" w:sz="8" w:color="auto"/>
            </w:tcBorders>
          </w:tcPr>
          <w:p>
            <w:pPr>
              <w:spacing w:after="0"/>
              <w:rPr>
                <w:sz w:val="21"/>
                <w:szCs w:val="21"/>
                <w:color w:val="auto"/>
              </w:rPr>
            </w:pPr>
          </w:p>
        </w:tc>
      </w:tr>
      <w:tr>
        <w:trPr>
          <w:trHeight w:val="240"/>
        </w:trPr>
        <w:tc>
          <w:tcPr>
            <w:tcW w:w="7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Food, beverage and packaging costs</w:t>
            </w:r>
          </w:p>
        </w:tc>
        <w:tc>
          <w:tcPr>
            <w:tcW w:w="1660" w:type="dxa"/>
            <w:vAlign w:val="bottom"/>
            <w:shd w:val="clear" w:color="auto" w:fill="DBDBDB"/>
          </w:tcPr>
          <w:p>
            <w:pPr>
              <w:jc w:val="right"/>
              <w:ind w:right="147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DBDBDB"/>
          </w:tcPr>
          <w:p>
            <w:pPr>
              <w:spacing w:after="0"/>
              <w:rPr>
                <w:sz w:val="20"/>
                <w:szCs w:val="20"/>
                <w:color w:val="auto"/>
              </w:rPr>
            </w:pPr>
          </w:p>
        </w:tc>
        <w:tc>
          <w:tcPr>
            <w:tcW w:w="1660" w:type="dxa"/>
            <w:vAlign w:val="bottom"/>
            <w:shd w:val="clear" w:color="auto" w:fill="DBDBDB"/>
          </w:tcPr>
          <w:p>
            <w:pPr>
              <w:jc w:val="right"/>
              <w:ind w:right="147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w:t>
            </w:r>
          </w:p>
        </w:tc>
      </w:tr>
      <w:tr>
        <w:trPr>
          <w:trHeight w:val="237"/>
        </w:trPr>
        <w:tc>
          <w:tcPr>
            <w:tcW w:w="70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operating expenses</w:t>
            </w:r>
          </w:p>
        </w:tc>
        <w:tc>
          <w:tcPr>
            <w:tcW w:w="16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DBDBDB"/>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68"/>
        </w:trPr>
        <w:tc>
          <w:tcPr>
            <w:tcW w:w="7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Olo-related costs</w:t>
            </w:r>
          </w:p>
        </w:tc>
        <w:tc>
          <w:tcPr>
            <w:tcW w:w="1660" w:type="dxa"/>
            <w:vAlign w:val="bottom"/>
            <w:tcBorders>
              <w:bottom w:val="single" w:sz="8" w:color="auto"/>
            </w:tcBorders>
            <w:shd w:val="clear" w:color="auto" w:fill="DBDBDB"/>
          </w:tcPr>
          <w:p>
            <w:pPr>
              <w:jc w:val="right"/>
              <w:ind w:right="14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DBDBDB"/>
            </w:tcBorders>
            <w:shd w:val="clear" w:color="auto" w:fill="DBDBDB"/>
          </w:tcPr>
          <w:p>
            <w:pPr>
              <w:spacing w:after="0"/>
              <w:rPr>
                <w:sz w:val="22"/>
                <w:szCs w:val="22"/>
                <w:color w:val="auto"/>
              </w:rPr>
            </w:pPr>
          </w:p>
        </w:tc>
        <w:tc>
          <w:tcPr>
            <w:tcW w:w="1660" w:type="dxa"/>
            <w:vAlign w:val="bottom"/>
            <w:tcBorders>
              <w:bottom w:val="single" w:sz="8" w:color="auto"/>
            </w:tcBorders>
            <w:shd w:val="clear" w:color="auto" w:fill="DBDBDB"/>
          </w:tcPr>
          <w:p>
            <w:pPr>
              <w:jc w:val="right"/>
              <w:ind w:right="14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638</w:t>
            </w:r>
          </w:p>
        </w:tc>
      </w:tr>
      <w:tr>
        <w:trPr>
          <w:trHeight w:val="20"/>
        </w:trPr>
        <w:tc>
          <w:tcPr>
            <w:tcW w:w="7020" w:type="dxa"/>
            <w:vAlign w:val="bottom"/>
            <w:tcBorders>
              <w:top w:val="single" w:sz="8" w:color="DBDBDB"/>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March 29, 2026 and December 28, 2025, $0.4 million and $0.3 million, respectively, were payable to Olo and were included in accounts payable in the condensed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are party to a TRA with certain members of Portillo's OpCo that provides for the payment by us of 85% of the amount of tax benefits, if any, that Portillo's Inc. actually realizes or in some cases is deemed to realize as a result of certain transactions. During the quarter ended March 29, 2026 and March 30, 2025, the Company made TRA payments of $7.9 million relating to tax year 2024 and $7.7 million relating to tax year 2023, respectively. We expect a payment of $1.3 million relating to tax year 2025 to be paid within the next 12 months.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29, 2026</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28, 2025</w:t>
            </w:r>
          </w:p>
        </w:tc>
      </w:tr>
      <w:tr>
        <w:trPr>
          <w:trHeight w:val="240"/>
        </w:trPr>
        <w:tc>
          <w:tcPr>
            <w:tcW w:w="79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Current portion of Tax Receivable Agreement liability</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Borders>
              <w:top w:val="single" w:sz="8" w:color="DBDBDB"/>
            </w:tcBorders>
            <w:shd w:val="clear" w:color="auto" w:fill="DBDBDB"/>
          </w:tcPr>
          <w:p>
            <w:pPr>
              <w:spacing w:after="0"/>
              <w:rPr>
                <w:sz w:val="20"/>
                <w:szCs w:val="20"/>
                <w:color w:val="auto"/>
              </w:rPr>
            </w:pPr>
          </w:p>
        </w:tc>
        <w:tc>
          <w:tcPr>
            <w:tcW w:w="540" w:type="dxa"/>
            <w:vAlign w:val="bottom"/>
            <w:tcBorders>
              <w:top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7,910</w:t>
            </w: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Tax receivable agreement liability</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342,841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344,524</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Transactions with Non-Controlling Interest Holders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Pr>
          <w:p>
            <w:pPr>
              <w:spacing w:after="0"/>
              <w:rPr>
                <w:sz w:val="19"/>
                <w:szCs w:val="19"/>
                <w:color w:val="auto"/>
              </w:rPr>
            </w:pPr>
          </w:p>
        </w:tc>
        <w:tc>
          <w:tcPr>
            <w:tcW w:w="4220" w:type="dxa"/>
            <w:vAlign w:val="bottom"/>
            <w:gridSpan w:val="5"/>
          </w:tcPr>
          <w:p>
            <w:pPr>
              <w:jc w:val="right"/>
              <w:ind w:right="145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70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 thousands)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29, 2026</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March 30, 2025</w:t>
            </w:r>
          </w:p>
        </w:tc>
      </w:tr>
      <w:tr>
        <w:trPr>
          <w:trHeight w:val="240"/>
        </w:trPr>
        <w:tc>
          <w:tcPr>
            <w:tcW w:w="7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Distributions paid to non-controlling interest holders</w:t>
            </w:r>
          </w:p>
        </w:tc>
        <w:tc>
          <w:tcPr>
            <w:tcW w:w="1660" w:type="dxa"/>
            <w:vAlign w:val="bottom"/>
            <w:shd w:val="clear" w:color="auto" w:fill="DBDBDB"/>
          </w:tcPr>
          <w:p>
            <w:pPr>
              <w:jc w:val="right"/>
              <w:ind w:right="147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1,291</w:t>
            </w:r>
          </w:p>
        </w:tc>
      </w:tr>
      <w:tr>
        <w:trPr>
          <w:trHeight w:val="228"/>
        </w:trPr>
        <w:tc>
          <w:tcPr>
            <w:tcW w:w="7020" w:type="dxa"/>
            <w:vAlign w:val="bottom"/>
          </w:tcPr>
          <w:p>
            <w:pPr>
              <w:ind w:left="20"/>
              <w:spacing w:after="0"/>
              <w:rPr>
                <w:sz w:val="20"/>
                <w:szCs w:val="20"/>
                <w:color w:val="auto"/>
              </w:rPr>
            </w:pPr>
            <w:r>
              <w:rPr>
                <w:rFonts w:ascii="Arial" w:cs="Arial" w:eastAsia="Arial" w:hAnsi="Arial"/>
                <w:sz w:val="16"/>
                <w:szCs w:val="16"/>
                <w:color w:val="auto"/>
              </w:rPr>
              <w:t>Contributions from non-controlling interest holders</w:t>
            </w:r>
          </w:p>
        </w:tc>
        <w:tc>
          <w:tcPr>
            <w:tcW w:w="1660" w:type="dxa"/>
            <w:vAlign w:val="bottom"/>
          </w:tcPr>
          <w:p>
            <w:pPr>
              <w:jc w:val="right"/>
              <w:ind w:right="147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16.</w:t>
        <w:tab/>
        <w:t>SUBSEQUENT EVENTS</w:t>
      </w:r>
    </w:p>
    <w:p>
      <w:pPr>
        <w:spacing w:after="0" w:line="24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On April 30, 2026, Michelle Hook informed the Chief Executive Officer and General Counsel and Secretary of the Company that she will depart from her role as Chief Financial Officer of the Company, effective May 5, 2026.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Board has initiated a process to identify her successor and has engaged an executive search firm to assist in the search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380" w:right="480"/>
        <w:spacing w:after="0" w:line="298" w:lineRule="auto"/>
        <w:rPr>
          <w:sz w:val="20"/>
          <w:szCs w:val="20"/>
          <w:color w:val="auto"/>
        </w:rPr>
      </w:pPr>
      <w:r>
        <w:rPr>
          <w:rFonts w:ascii="Arial" w:cs="Arial" w:eastAsia="Arial" w:hAnsi="Arial"/>
          <w:sz w:val="25"/>
          <w:szCs w:val="25"/>
          <w:b w:val="1"/>
          <w:bCs w:val="1"/>
          <w:color w:val="414042"/>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-51435</wp:posOffset>
            </wp:positionV>
            <wp:extent cx="5966460"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discussion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“Cautionary Statements Concerning Forward-Looking Statements” in this report and under the heading “Risk Factors” in Part I, Item IA of our Annual Report on Form 10-K for the fiscal year ended December 28, 2025 and Part II, Item 1A of this Form 10-Q. The following discussion should be read in conjunction with our Annual Report on Form 10-K for the fiscal year ended December 28, 2025 and the condensed consolidated financial statements and notes thereto included in Part I, Item 1 of this Form 10-Q.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based on our current knowledge of our business and operations, we cannot guarantee future results, levels of activity, performance or achievements. We assume no obligation to provide revisions to any forward-looking statements should circumstances change.</w:t>
      </w:r>
    </w:p>
    <w:p>
      <w:pPr>
        <w:spacing w:after="0" w:line="19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following discussion summarizes the significant factors affecting the condensed consolidated operating results, financial condition, liquidity and cash flows of our Company as of and for the periods presented below.</w:t>
      </w:r>
    </w:p>
    <w:p>
      <w:pPr>
        <w:spacing w:after="0" w:line="18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prepared the unaudited condensed consolidated financial statements in accordance with accounting principles generally accepted in the United States of America ("GAAP") for interim financial statements and pursuant to the rules and regulations of the Securities and Exchange Commission (the "SEC").</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Overview</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Portillo’s serves iconic Chicago street food in high-energy, multichannel restaurants designed to ignite the senses and create memorable dining experiences. Since our founding in 1963 in a small trailer that Dick Portillo called “The Dog House,” we have grown to become a treasured brand with a passionate (some might say obsessed) nationwide following. Our diverse menu features all-American favorites such as Chicago-style hot dogs and sausages, Italian beef sandwiches, char-broiled burgers, fresh chopped salads, crinkle-cut fries, homemade chocolate cake and our signature chocolate cake shake. We create a consumer experience like no other by combining the best attributes of fast-casual and quick-service concepts with an exciting energy-filled atmosphere in a restaurant model capable of generating tremendous volumes. Nearly all of our restaurants were built with double lane drive-thrus and have been thoughtfully designed with a layout that accommodates a variety of access modes including dine-in, carryout, delivery and catering to quickly and efficiently serve our guests. We believe the combination of our craveable food, multichannel sales model, dedication to operational excellence, and distinctive team member-driven culture gives us a competitive advantage.</w:t>
      </w:r>
    </w:p>
    <w:p>
      <w:pPr>
        <w:spacing w:after="0" w:line="212"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As of March 29, 2026, we owned and operated 106 Portillo’s restaurants across eleven states, including a restaurant owned by C&amp;O Chicago, L.L.C. ("C&amp;O") of which Portillo’s owns 50% of the equity.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Financial Highlights for the Quarter Ended March 29, 2026 vs. Quarter Ended March 30, 2025:</w:t>
      </w:r>
    </w:p>
    <w:p>
      <w:pPr>
        <w:spacing w:after="0" w:line="243" w:lineRule="exact"/>
        <w:rPr>
          <w:sz w:val="20"/>
          <w:szCs w:val="20"/>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revenue of $182.6 million, an increase of 3.5% or $6.2 million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Same-restaurant sales decrease of -0.1%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Operating income of $4.5 million, a decrease of $5.9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loss of $0.5 million, a decrease of $4.5 million from net income of $4.0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Restaurant-Level Adjusted EBITDA* of $34.8 million, a decrease of $1.8 million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of $18.5 million, a decrease of $2.8 million</w:t>
      </w:r>
    </w:p>
    <w:p>
      <w:pPr>
        <w:spacing w:after="0" w:line="238" w:lineRule="exact"/>
        <w:rPr>
          <w:rFonts w:ascii="Arial" w:cs="Arial" w:eastAsia="Arial" w:hAnsi="Arial"/>
          <w:sz w:val="18"/>
          <w:szCs w:val="18"/>
          <w:color w:val="auto"/>
        </w:rPr>
      </w:pPr>
    </w:p>
    <w:p>
      <w:pPr>
        <w:ind w:right="120"/>
        <w:spacing w:after="0" w:line="275" w:lineRule="auto"/>
        <w:rPr>
          <w:rFonts w:ascii="Arial" w:cs="Arial" w:eastAsia="Arial" w:hAnsi="Arial"/>
          <w:sz w:val="18"/>
          <w:szCs w:val="18"/>
          <w:color w:val="auto"/>
        </w:rPr>
      </w:pPr>
      <w:r>
        <w:rPr>
          <w:rFonts w:ascii="Arial" w:cs="Arial" w:eastAsia="Arial" w:hAnsi="Arial"/>
          <w:sz w:val="16"/>
          <w:szCs w:val="16"/>
          <w:color w:val="auto"/>
        </w:rPr>
        <w:t>* Restaurant-Level Adjusted EBITDA and Adjusted EBITDA are non-GAAP measures. Definitions and reconciliations of Adjusted EBITDA to net (loss) income and Restaurant-Level Adjusted EBITDA to operating income, the most directly comparable financial measures presented in accordance with GAAP, are set forth under the section "Key Performance Indicators and Non-GAAP Financial Measures".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2"/>
          <w:szCs w:val="22"/>
          <w:b w:val="1"/>
          <w:bCs w:val="1"/>
          <w:color w:val="414042"/>
        </w:rPr>
        <w:t>Recent Developments and Trends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have announced the following leadership and governance changes:</w:t>
      </w:r>
    </w:p>
    <w:p>
      <w:pPr>
        <w:spacing w:after="0" w:line="27" w:lineRule="exact"/>
        <w:rPr>
          <w:sz w:val="20"/>
          <w:szCs w:val="20"/>
          <w:color w:val="auto"/>
        </w:rPr>
      </w:pPr>
    </w:p>
    <w:p>
      <w:pPr>
        <w:ind w:left="660" w:right="140" w:hanging="328"/>
        <w:spacing w:after="0" w:line="250"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Brett Patterson was appointed President and Chief Executive Officer, effective February 23, 2026, and as principal executive officer effective February 25, 2026.</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Eugene I. Lee, Jr. was appointed Chair of the Board of Directors, effective March 10, 2026.</w:t>
      </w:r>
    </w:p>
    <w:p>
      <w:pPr>
        <w:spacing w:after="0" w:line="9"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Jennifer Pecoraro</w:t>
      </w:r>
      <w:r>
        <w:rPr>
          <w:rFonts w:ascii="MS PGothic" w:cs="MS PGothic" w:eastAsia="MS PGothic" w:hAnsi="MS PGothic"/>
          <w:sz w:val="18"/>
          <w:szCs w:val="18"/>
          <w:color w:val="auto"/>
        </w:rPr>
        <w:t>‑</w:t>
      </w:r>
      <w:r>
        <w:rPr>
          <w:rFonts w:ascii="Arial" w:cs="Arial" w:eastAsia="Arial" w:hAnsi="Arial"/>
          <w:sz w:val="18"/>
          <w:szCs w:val="18"/>
          <w:color w:val="auto"/>
        </w:rPr>
        <w:t>Striepling was appointed Chief Development Officer, effective March 16, 2026.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Michelle Hook announced that she will depart from her role as Chief Financial Officer, effective May 5, 2025.</w:t>
      </w:r>
    </w:p>
    <w:p>
      <w:pPr>
        <w:spacing w:after="0" w:line="234"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Additionally, during the first quarter of 2026, we introduced select permanent and limited time menu enhancements, intended to support guest engagement and increase attachment, consistent with our ongoing focus on menu innovation.</w:t>
      </w:r>
    </w:p>
    <w:p>
      <w:pPr>
        <w:spacing w:after="0" w:line="18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will concentrate our strategic priorities on three key areas: operational excellence across all channels; a more integrated and targeted marketing approach; and a disciplined development strategy. These priorities support our commitment to improving transactions and Restaurant-Level Adjusted EBITDA, positive free cash flow and delivering long-term shareholder value.</w:t>
      </w:r>
    </w:p>
    <w:p>
      <w:pPr>
        <w:spacing w:after="0" w:line="19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the quarter ended March 29, 2026, total revenue grew 3.5% or $6.2 million, primarily due to new restaurant openings in 2025 and 2026, partially offset by a decline in same-restaurant sales. Same-restaurant sales declined 0.1% during the quarter ended March 29, 2026, compared to a 1.8% increase during the quarter ended March 30, 2025. Refer to "Selected Operating Data" section below for definition of Same-Restaurant Sales.</w:t>
      </w:r>
    </w:p>
    <w:p>
      <w:pPr>
        <w:spacing w:after="0" w:line="20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April, we have experienced negative same-restaurant sales trends, driven primarily by negative transaction and mix trends as we are lapping the benefit of our breakfast pilot from the prior year. We expect to have continued headwinds in May as we will be lapping our buy-one-get-one beef promotion from the prior year.</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the quarter ended March 29, 2026, commodity inflation was 1.8%, compared to 3.4% for the quarter ended March 30, 2025. Labor, as a percentage of revenue, net increased 0.3% during the quarter ended March 29, 2026, compared to the quarter ended March 30, 2025, primarily due to higher benefit costs, incremental wage rate increases and deleverage from our newer restaurant openings, partially offset by labor efficiencies. We increased certain menu prices by approximately 2.0% in April 2026.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Development Highlights</w:t>
      </w:r>
    </w:p>
    <w:p>
      <w:pPr>
        <w:spacing w:after="0" w:line="26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quarter ended March 29, 2026, we opened four restaurants. Subsequent to March 29, 2026, we opened one additional restaurant, bringing our total restaurant count to 107, as of the filing of this Quarterly Report on Form 10-Q, including a restaurant owned by C&amp;O, of which Portillo’s owns 50% of the equity. We plan to open three additional restaurants in the remainder of fiscal 2026, including our first airport location at Dallas–Fort Worth International Airport and our second in-line location which will be in Chicago.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Below are the restaurants opened thus far in fiscal 2026:</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4460" w:type="dxa"/>
            <w:vAlign w:val="bottom"/>
            <w:tcBorders>
              <w:bottom w:val="single" w:sz="8" w:color="auto"/>
            </w:tcBorders>
          </w:tcPr>
          <w:p>
            <w:pPr>
              <w:ind w:left="2720"/>
              <w:spacing w:after="0"/>
              <w:rPr>
                <w:sz w:val="20"/>
                <w:szCs w:val="20"/>
                <w:color w:val="auto"/>
              </w:rPr>
            </w:pPr>
            <w:r>
              <w:rPr>
                <w:rFonts w:ascii="Arial" w:cs="Arial" w:eastAsia="Arial" w:hAnsi="Arial"/>
                <w:sz w:val="16"/>
                <w:szCs w:val="16"/>
                <w:b w:val="1"/>
                <w:bCs w:val="1"/>
                <w:color w:val="auto"/>
              </w:rPr>
              <w:t>Opening Month</w:t>
            </w:r>
          </w:p>
        </w:tc>
        <w:tc>
          <w:tcPr>
            <w:tcW w:w="276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Fiscal Quarter Opened</w:t>
            </w:r>
          </w:p>
        </w:tc>
      </w:tr>
      <w:tr>
        <w:trPr>
          <w:trHeight w:val="240"/>
        </w:trPr>
        <w:tc>
          <w:tcPr>
            <w:tcW w:w="4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Fort Worth, Texas</w:t>
            </w:r>
          </w:p>
        </w:tc>
        <w:tc>
          <w:tcPr>
            <w:tcW w:w="4460" w:type="dxa"/>
            <w:vAlign w:val="bottom"/>
            <w:shd w:val="clear" w:color="auto" w:fill="DBDBDB"/>
          </w:tcPr>
          <w:p>
            <w:pPr>
              <w:ind w:left="2720"/>
              <w:spacing w:after="0"/>
              <w:rPr>
                <w:sz w:val="20"/>
                <w:szCs w:val="20"/>
                <w:color w:val="auto"/>
              </w:rPr>
            </w:pPr>
            <w:r>
              <w:rPr>
                <w:rFonts w:ascii="Arial" w:cs="Arial" w:eastAsia="Arial" w:hAnsi="Arial"/>
                <w:sz w:val="16"/>
                <w:szCs w:val="16"/>
                <w:color w:val="auto"/>
              </w:rPr>
              <w:t>January 2026</w:t>
            </w:r>
          </w:p>
        </w:tc>
        <w:tc>
          <w:tcPr>
            <w:tcW w:w="2760" w:type="dxa"/>
            <w:vAlign w:val="bottom"/>
            <w:shd w:val="clear" w:color="auto" w:fill="DBDBDB"/>
          </w:tcPr>
          <w:p>
            <w:pPr>
              <w:ind w:left="520"/>
              <w:spacing w:after="0"/>
              <w:rPr>
                <w:sz w:val="20"/>
                <w:szCs w:val="20"/>
                <w:color w:val="auto"/>
              </w:rPr>
            </w:pPr>
            <w:r>
              <w:rPr>
                <w:rFonts w:ascii="Arial" w:cs="Arial" w:eastAsia="Arial" w:hAnsi="Arial"/>
                <w:sz w:val="16"/>
                <w:szCs w:val="16"/>
                <w:color w:val="auto"/>
              </w:rPr>
              <w:t>Q1 2026</w:t>
            </w:r>
          </w:p>
        </w:tc>
      </w:tr>
      <w:tr>
        <w:trPr>
          <w:trHeight w:val="235"/>
        </w:trPr>
        <w:tc>
          <w:tcPr>
            <w:tcW w:w="4020" w:type="dxa"/>
            <w:vAlign w:val="bottom"/>
          </w:tcPr>
          <w:p>
            <w:pPr>
              <w:ind w:left="20"/>
              <w:spacing w:after="0"/>
              <w:rPr>
                <w:sz w:val="20"/>
                <w:szCs w:val="20"/>
                <w:color w:val="auto"/>
              </w:rPr>
            </w:pPr>
            <w:r>
              <w:rPr>
                <w:rFonts w:ascii="Arial" w:cs="Arial" w:eastAsia="Arial" w:hAnsi="Arial"/>
                <w:sz w:val="16"/>
                <w:szCs w:val="16"/>
                <w:color w:val="auto"/>
              </w:rPr>
              <w:t>Humble, Texas</w:t>
            </w:r>
          </w:p>
        </w:tc>
        <w:tc>
          <w:tcPr>
            <w:tcW w:w="4460" w:type="dxa"/>
            <w:vAlign w:val="bottom"/>
          </w:tcPr>
          <w:p>
            <w:pPr>
              <w:ind w:left="2720"/>
              <w:spacing w:after="0"/>
              <w:rPr>
                <w:sz w:val="20"/>
                <w:szCs w:val="20"/>
                <w:color w:val="auto"/>
              </w:rPr>
            </w:pPr>
            <w:r>
              <w:rPr>
                <w:rFonts w:ascii="Arial" w:cs="Arial" w:eastAsia="Arial" w:hAnsi="Arial"/>
                <w:sz w:val="16"/>
                <w:szCs w:val="16"/>
                <w:color w:val="auto"/>
              </w:rPr>
              <w:t>February 2026</w:t>
            </w:r>
          </w:p>
        </w:tc>
        <w:tc>
          <w:tcPr>
            <w:tcW w:w="2760" w:type="dxa"/>
            <w:vAlign w:val="bottom"/>
          </w:tcPr>
          <w:p>
            <w:pPr>
              <w:ind w:left="520"/>
              <w:spacing w:after="0"/>
              <w:rPr>
                <w:sz w:val="20"/>
                <w:szCs w:val="20"/>
                <w:color w:val="auto"/>
              </w:rPr>
            </w:pPr>
            <w:r>
              <w:rPr>
                <w:rFonts w:ascii="Arial" w:cs="Arial" w:eastAsia="Arial" w:hAnsi="Arial"/>
                <w:sz w:val="16"/>
                <w:szCs w:val="16"/>
                <w:color w:val="auto"/>
              </w:rPr>
              <w:t>Q1 2026</w:t>
            </w:r>
          </w:p>
        </w:tc>
      </w:tr>
      <w:tr>
        <w:trPr>
          <w:trHeight w:val="251"/>
        </w:trPr>
        <w:tc>
          <w:tcPr>
            <w:tcW w:w="4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Dallas, Texas</w:t>
            </w:r>
          </w:p>
        </w:tc>
        <w:tc>
          <w:tcPr>
            <w:tcW w:w="4460" w:type="dxa"/>
            <w:vAlign w:val="bottom"/>
            <w:shd w:val="clear" w:color="auto" w:fill="DBDBDB"/>
          </w:tcPr>
          <w:p>
            <w:pPr>
              <w:ind w:left="2720"/>
              <w:spacing w:after="0"/>
              <w:rPr>
                <w:sz w:val="20"/>
                <w:szCs w:val="20"/>
                <w:color w:val="auto"/>
              </w:rPr>
            </w:pPr>
            <w:r>
              <w:rPr>
                <w:rFonts w:ascii="Arial" w:cs="Arial" w:eastAsia="Arial" w:hAnsi="Arial"/>
                <w:sz w:val="16"/>
                <w:szCs w:val="16"/>
                <w:color w:val="auto"/>
              </w:rPr>
              <w:t>March 2026</w:t>
            </w:r>
          </w:p>
        </w:tc>
        <w:tc>
          <w:tcPr>
            <w:tcW w:w="2760" w:type="dxa"/>
            <w:vAlign w:val="bottom"/>
            <w:shd w:val="clear" w:color="auto" w:fill="DBDBDB"/>
          </w:tcPr>
          <w:p>
            <w:pPr>
              <w:ind w:left="520"/>
              <w:spacing w:after="0"/>
              <w:rPr>
                <w:sz w:val="20"/>
                <w:szCs w:val="20"/>
                <w:color w:val="auto"/>
              </w:rPr>
            </w:pPr>
            <w:r>
              <w:rPr>
                <w:rFonts w:ascii="Arial" w:cs="Arial" w:eastAsia="Arial" w:hAnsi="Arial"/>
                <w:sz w:val="16"/>
                <w:szCs w:val="16"/>
                <w:color w:val="auto"/>
              </w:rPr>
              <w:t>Q1 2026</w:t>
            </w:r>
          </w:p>
        </w:tc>
      </w:tr>
      <w:tr>
        <w:trPr>
          <w:trHeight w:val="235"/>
        </w:trPr>
        <w:tc>
          <w:tcPr>
            <w:tcW w:w="4020" w:type="dxa"/>
            <w:vAlign w:val="bottom"/>
          </w:tcPr>
          <w:p>
            <w:pPr>
              <w:ind w:left="20"/>
              <w:spacing w:after="0"/>
              <w:rPr>
                <w:sz w:val="20"/>
                <w:szCs w:val="20"/>
                <w:color w:val="auto"/>
              </w:rPr>
            </w:pPr>
            <w:r>
              <w:rPr>
                <w:rFonts w:ascii="Arial" w:cs="Arial" w:eastAsia="Arial" w:hAnsi="Arial"/>
                <w:sz w:val="16"/>
                <w:szCs w:val="16"/>
                <w:color w:val="auto"/>
              </w:rPr>
              <w:t>El Paso, Texas</w:t>
            </w:r>
          </w:p>
        </w:tc>
        <w:tc>
          <w:tcPr>
            <w:tcW w:w="4460" w:type="dxa"/>
            <w:vAlign w:val="bottom"/>
          </w:tcPr>
          <w:p>
            <w:pPr>
              <w:ind w:left="2720"/>
              <w:spacing w:after="0"/>
              <w:rPr>
                <w:sz w:val="20"/>
                <w:szCs w:val="20"/>
                <w:color w:val="auto"/>
              </w:rPr>
            </w:pPr>
            <w:r>
              <w:rPr>
                <w:rFonts w:ascii="Arial" w:cs="Arial" w:eastAsia="Arial" w:hAnsi="Arial"/>
                <w:sz w:val="16"/>
                <w:szCs w:val="16"/>
                <w:color w:val="auto"/>
              </w:rPr>
              <w:t>March 2026</w:t>
            </w:r>
          </w:p>
        </w:tc>
        <w:tc>
          <w:tcPr>
            <w:tcW w:w="2760" w:type="dxa"/>
            <w:vAlign w:val="bottom"/>
          </w:tcPr>
          <w:p>
            <w:pPr>
              <w:ind w:left="520"/>
              <w:spacing w:after="0"/>
              <w:rPr>
                <w:sz w:val="20"/>
                <w:szCs w:val="20"/>
                <w:color w:val="auto"/>
              </w:rPr>
            </w:pPr>
            <w:r>
              <w:rPr>
                <w:rFonts w:ascii="Arial" w:cs="Arial" w:eastAsia="Arial" w:hAnsi="Arial"/>
                <w:sz w:val="16"/>
                <w:szCs w:val="16"/>
                <w:color w:val="auto"/>
              </w:rPr>
              <w:t>Q1 2026</w:t>
            </w:r>
          </w:p>
        </w:tc>
      </w:tr>
      <w:tr>
        <w:trPr>
          <w:trHeight w:val="251"/>
        </w:trPr>
        <w:tc>
          <w:tcPr>
            <w:tcW w:w="4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Frisco, Texas</w:t>
            </w:r>
          </w:p>
        </w:tc>
        <w:tc>
          <w:tcPr>
            <w:tcW w:w="4460" w:type="dxa"/>
            <w:vAlign w:val="bottom"/>
            <w:shd w:val="clear" w:color="auto" w:fill="DBDBDB"/>
          </w:tcPr>
          <w:p>
            <w:pPr>
              <w:ind w:left="2720"/>
              <w:spacing w:after="0"/>
              <w:rPr>
                <w:sz w:val="20"/>
                <w:szCs w:val="20"/>
                <w:color w:val="auto"/>
              </w:rPr>
            </w:pPr>
            <w:r>
              <w:rPr>
                <w:rFonts w:ascii="Arial" w:cs="Arial" w:eastAsia="Arial" w:hAnsi="Arial"/>
                <w:sz w:val="16"/>
                <w:szCs w:val="16"/>
                <w:color w:val="auto"/>
              </w:rPr>
              <w:t>April 2026</w:t>
            </w:r>
          </w:p>
        </w:tc>
        <w:tc>
          <w:tcPr>
            <w:tcW w:w="2760" w:type="dxa"/>
            <w:vAlign w:val="bottom"/>
            <w:shd w:val="clear" w:color="auto" w:fill="DBDBDB"/>
          </w:tcPr>
          <w:p>
            <w:pPr>
              <w:ind w:left="520"/>
              <w:spacing w:after="0"/>
              <w:rPr>
                <w:sz w:val="20"/>
                <w:szCs w:val="20"/>
                <w:color w:val="auto"/>
              </w:rPr>
            </w:pPr>
            <w:r>
              <w:rPr>
                <w:rFonts w:ascii="Arial" w:cs="Arial" w:eastAsia="Arial" w:hAnsi="Arial"/>
                <w:sz w:val="16"/>
                <w:szCs w:val="16"/>
                <w:color w:val="auto"/>
              </w:rPr>
              <w:t>Q2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Consolidated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quarters ended March 29, 2026 and March 30, 2025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5"/>
          </w:tcPr>
          <w:p>
            <w:pPr>
              <w:ind w:left="500"/>
              <w:spacing w:after="0"/>
              <w:rPr>
                <w:sz w:val="20"/>
                <w:szCs w:val="20"/>
                <w:color w:val="auto"/>
              </w:rPr>
            </w:pPr>
            <w:r>
              <w:rPr>
                <w:rFonts w:ascii="Arial" w:cs="Arial" w:eastAsia="Arial" w:hAnsi="Arial"/>
                <w:sz w:val="16"/>
                <w:szCs w:val="16"/>
                <w:b w:val="1"/>
                <w:bCs w:val="1"/>
                <w:color w:val="auto"/>
              </w:rPr>
              <w:t>Quarter Ended</w:t>
            </w:r>
          </w:p>
        </w:tc>
        <w:tc>
          <w:tcPr>
            <w:tcW w:w="1020" w:type="dxa"/>
            <w:vAlign w:val="bottom"/>
          </w:tcPr>
          <w:p>
            <w:pPr>
              <w:spacing w:after="0"/>
              <w:rPr>
                <w:sz w:val="19"/>
                <w:szCs w:val="19"/>
                <w:color w:val="auto"/>
              </w:rPr>
            </w:pPr>
          </w:p>
        </w:tc>
      </w:tr>
      <w:tr>
        <w:trPr>
          <w:trHeight w:val="247"/>
        </w:trPr>
        <w:tc>
          <w:tcPr>
            <w:tcW w:w="7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gridSpan w:val="4"/>
          </w:tcPr>
          <w:p>
            <w:pPr>
              <w:ind w:left="260"/>
              <w:spacing w:after="0"/>
              <w:rPr>
                <w:sz w:val="20"/>
                <w:szCs w:val="20"/>
                <w:color w:val="auto"/>
              </w:rPr>
            </w:pPr>
            <w:r>
              <w:rPr>
                <w:rFonts w:ascii="Arial" w:cs="Arial" w:eastAsia="Arial" w:hAnsi="Arial"/>
                <w:sz w:val="16"/>
                <w:szCs w:val="16"/>
                <w:b w:val="1"/>
                <w:bCs w:val="1"/>
                <w:color w:val="auto"/>
              </w:rPr>
              <w:t>March 29, 2026</w:t>
            </w:r>
          </w:p>
        </w:tc>
        <w:tc>
          <w:tcPr>
            <w:tcW w:w="180" w:type="dxa"/>
            <w:vAlign w:val="bottom"/>
          </w:tcPr>
          <w:p>
            <w:pPr>
              <w:spacing w:after="0"/>
              <w:rPr>
                <w:sz w:val="21"/>
                <w:szCs w:val="21"/>
                <w:color w:val="auto"/>
              </w:rPr>
            </w:pPr>
          </w:p>
        </w:tc>
        <w:tc>
          <w:tcPr>
            <w:tcW w:w="18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March 30, 2025</w:t>
            </w:r>
          </w:p>
        </w:tc>
      </w:tr>
      <w:tr>
        <w:trPr>
          <w:trHeight w:val="240"/>
        </w:trPr>
        <w:tc>
          <w:tcPr>
            <w:tcW w:w="7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REVENUES, NET</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182,623</w:t>
            </w:r>
          </w:p>
        </w:tc>
        <w:tc>
          <w:tcPr>
            <w:tcW w:w="100" w:type="dxa"/>
            <w:vAlign w:val="bottom"/>
            <w:tcBorders>
              <w:top w:val="single" w:sz="8" w:color="auto"/>
            </w:tcBorders>
            <w:shd w:val="clear" w:color="auto" w:fill="DBDBDB"/>
          </w:tcPr>
          <w:p>
            <w:pPr>
              <w:spacing w:after="0"/>
              <w:rPr>
                <w:sz w:val="20"/>
                <w:szCs w:val="20"/>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DBDBDB"/>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176,437</w:t>
            </w:r>
          </w:p>
        </w:tc>
        <w:tc>
          <w:tcPr>
            <w:tcW w:w="80" w:type="dxa"/>
            <w:vAlign w:val="bottom"/>
            <w:tcBorders>
              <w:top w:val="single" w:sz="8" w:color="auto"/>
            </w:tcBorders>
            <w:shd w:val="clear" w:color="auto" w:fill="DBDBDB"/>
          </w:tcPr>
          <w:p>
            <w:pPr>
              <w:spacing w:after="0"/>
              <w:rPr>
                <w:sz w:val="20"/>
                <w:szCs w:val="20"/>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57"/>
        </w:trPr>
        <w:tc>
          <w:tcPr>
            <w:tcW w:w="7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43"/>
        </w:trPr>
        <w:tc>
          <w:tcPr>
            <w:tcW w:w="71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COST AND EXPENSES:</w:t>
            </w:r>
          </w:p>
        </w:tc>
        <w:tc>
          <w:tcPr>
            <w:tcW w:w="18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r>
      <w:tr>
        <w:trPr>
          <w:trHeight w:val="235"/>
        </w:trPr>
        <w:tc>
          <w:tcPr>
            <w:tcW w:w="7120" w:type="dxa"/>
            <w:vAlign w:val="bottom"/>
          </w:tcPr>
          <w:p>
            <w:pPr>
              <w:ind w:left="20"/>
              <w:spacing w:after="0"/>
              <w:rPr>
                <w:sz w:val="20"/>
                <w:szCs w:val="20"/>
                <w:color w:val="auto"/>
              </w:rPr>
            </w:pPr>
            <w:r>
              <w:rPr>
                <w:rFonts w:ascii="Arial" w:cs="Arial" w:eastAsia="Arial" w:hAnsi="Arial"/>
                <w:sz w:val="16"/>
                <w:szCs w:val="16"/>
                <w:color w:val="auto"/>
              </w:rPr>
              <w:t>Restaurant operating expenses: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1"/>
        </w:trPr>
        <w:tc>
          <w:tcPr>
            <w:tcW w:w="71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Food, beverage and packaging costs</w:t>
            </w:r>
          </w:p>
        </w:tc>
        <w:tc>
          <w:tcPr>
            <w:tcW w:w="18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63,285</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34.7 %</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61,102</w:t>
            </w:r>
          </w:p>
        </w:tc>
        <w:tc>
          <w:tcPr>
            <w:tcW w:w="8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34.6 %</w:t>
            </w:r>
          </w:p>
        </w:tc>
      </w:tr>
      <w:tr>
        <w:trPr>
          <w:trHeight w:val="235"/>
        </w:trPr>
        <w:tc>
          <w:tcPr>
            <w:tcW w:w="7120" w:type="dxa"/>
            <w:vAlign w:val="bottom"/>
          </w:tcPr>
          <w:p>
            <w:pPr>
              <w:ind w:left="220"/>
              <w:spacing w:after="0"/>
              <w:rPr>
                <w:sz w:val="20"/>
                <w:szCs w:val="20"/>
                <w:color w:val="auto"/>
              </w:rPr>
            </w:pPr>
            <w:r>
              <w:rPr>
                <w:rFonts w:ascii="Arial" w:cs="Arial" w:eastAsia="Arial" w:hAnsi="Arial"/>
                <w:sz w:val="16"/>
                <w:szCs w:val="16"/>
                <w:color w:val="auto"/>
              </w:rPr>
              <w:t>Labor</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49,195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46,868</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26.6 %</w:t>
            </w:r>
          </w:p>
        </w:tc>
      </w:tr>
      <w:tr>
        <w:trPr>
          <w:trHeight w:val="251"/>
        </w:trPr>
        <w:tc>
          <w:tcPr>
            <w:tcW w:w="71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Occupancy</w:t>
            </w:r>
          </w:p>
        </w:tc>
        <w:tc>
          <w:tcPr>
            <w:tcW w:w="18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11,184</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6.1 %</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10,021</w:t>
            </w:r>
          </w:p>
        </w:tc>
        <w:tc>
          <w:tcPr>
            <w:tcW w:w="8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5.7 %</w:t>
            </w:r>
          </w:p>
        </w:tc>
      </w:tr>
      <w:tr>
        <w:trPr>
          <w:trHeight w:val="237"/>
        </w:trPr>
        <w:tc>
          <w:tcPr>
            <w:tcW w:w="71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operating expenses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24,115</w:t>
            </w:r>
          </w:p>
        </w:tc>
        <w:tc>
          <w:tcPr>
            <w:tcW w:w="10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13.2 %</w:t>
            </w:r>
          </w:p>
        </w:tc>
        <w:tc>
          <w:tcPr>
            <w:tcW w:w="8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21,790</w:t>
            </w:r>
          </w:p>
        </w:tc>
        <w:tc>
          <w:tcPr>
            <w:tcW w:w="8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r>
      <w:tr>
        <w:trPr>
          <w:trHeight w:val="243"/>
        </w:trPr>
        <w:tc>
          <w:tcPr>
            <w:tcW w:w="7120" w:type="dxa"/>
            <w:vAlign w:val="bottom"/>
            <w:shd w:val="clear" w:color="auto" w:fill="DBDBDB"/>
          </w:tcPr>
          <w:p>
            <w:pPr>
              <w:ind w:left="460"/>
              <w:spacing w:after="0"/>
              <w:rPr>
                <w:sz w:val="20"/>
                <w:szCs w:val="20"/>
                <w:color w:val="auto"/>
              </w:rPr>
            </w:pPr>
            <w:r>
              <w:rPr>
                <w:rFonts w:ascii="Arial" w:cs="Arial" w:eastAsia="Arial" w:hAnsi="Arial"/>
                <w:sz w:val="16"/>
                <w:szCs w:val="16"/>
                <w:b w:val="1"/>
                <w:bCs w:val="1"/>
                <w:color w:val="auto"/>
              </w:rPr>
              <w:t>Total restaurant operating expenses</w:t>
            </w:r>
          </w:p>
        </w:tc>
        <w:tc>
          <w:tcPr>
            <w:tcW w:w="18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147,779</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80.9 %</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139,781</w:t>
            </w:r>
          </w:p>
        </w:tc>
        <w:tc>
          <w:tcPr>
            <w:tcW w:w="8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79.2 %</w:t>
            </w:r>
          </w:p>
        </w:tc>
      </w:tr>
      <w:tr>
        <w:trPr>
          <w:trHeight w:val="235"/>
        </w:trPr>
        <w:tc>
          <w:tcPr>
            <w:tcW w:w="7120" w:type="dxa"/>
            <w:vAlign w:val="bottom"/>
          </w:tcPr>
          <w:p>
            <w:pPr>
              <w:ind w:left="24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20,359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18,903</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10.7 %</w:t>
            </w:r>
          </w:p>
        </w:tc>
      </w:tr>
      <w:tr>
        <w:trPr>
          <w:trHeight w:val="251"/>
        </w:trPr>
        <w:tc>
          <w:tcPr>
            <w:tcW w:w="7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Pre-opening expenses</w:t>
            </w:r>
          </w:p>
        </w:tc>
        <w:tc>
          <w:tcPr>
            <w:tcW w:w="18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2,550</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1.4 %</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508</w:t>
            </w:r>
          </w:p>
        </w:tc>
        <w:tc>
          <w:tcPr>
            <w:tcW w:w="8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0.3 %</w:t>
            </w:r>
          </w:p>
        </w:tc>
      </w:tr>
      <w:tr>
        <w:trPr>
          <w:trHeight w:val="235"/>
        </w:trPr>
        <w:tc>
          <w:tcPr>
            <w:tcW w:w="71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7,936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7,040</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51"/>
        </w:trPr>
        <w:tc>
          <w:tcPr>
            <w:tcW w:w="7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income attributable to equity method investment</w:t>
            </w:r>
          </w:p>
        </w:tc>
        <w:tc>
          <w:tcPr>
            <w:tcW w:w="18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w:t>
            </w:r>
          </w:p>
        </w:tc>
      </w:tr>
      <w:tr>
        <w:trPr>
          <w:trHeight w:val="236"/>
        </w:trPr>
        <w:tc>
          <w:tcPr>
            <w:tcW w:w="71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43"/>
        </w:trPr>
        <w:tc>
          <w:tcPr>
            <w:tcW w:w="71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18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4,492</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10,381</w:t>
            </w:r>
          </w:p>
        </w:tc>
        <w:tc>
          <w:tcPr>
            <w:tcW w:w="8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5.9 %</w:t>
            </w:r>
          </w:p>
        </w:tc>
      </w:tr>
      <w:tr>
        <w:trPr>
          <w:trHeight w:val="235"/>
        </w:trPr>
        <w:tc>
          <w:tcPr>
            <w:tcW w:w="71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5,627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5,749</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51"/>
        </w:trPr>
        <w:tc>
          <w:tcPr>
            <w:tcW w:w="71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DBDBDB"/>
          </w:tcPr>
          <w:p>
            <w:pPr>
              <w:spacing w:after="0"/>
              <w:rPr>
                <w:sz w:val="21"/>
                <w:szCs w:val="21"/>
                <w:color w:val="auto"/>
              </w:rPr>
            </w:pPr>
          </w:p>
        </w:tc>
        <w:tc>
          <w:tcPr>
            <w:tcW w:w="110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 %</w:t>
            </w:r>
          </w:p>
        </w:tc>
        <w:tc>
          <w:tcPr>
            <w:tcW w:w="18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71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Tax Receivable Agreement liability adjustment</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8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43"/>
        </w:trPr>
        <w:tc>
          <w:tcPr>
            <w:tcW w:w="71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18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5,350</w:t>
            </w:r>
          </w:p>
        </w:tc>
        <w:tc>
          <w:tcPr>
            <w:tcW w:w="8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3.0 %</w:t>
            </w:r>
          </w:p>
        </w:tc>
      </w:tr>
      <w:tr>
        <w:trPr>
          <w:trHeight w:val="237"/>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w:t>
            </w:r>
          </w:p>
        </w:tc>
        <w:tc>
          <w:tcPr>
            <w:tcW w:w="8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r>
      <w:tr>
        <w:trPr>
          <w:trHeight w:val="243"/>
        </w:trPr>
        <w:tc>
          <w:tcPr>
            <w:tcW w:w="71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(LOSS) INCOME</w:t>
            </w:r>
          </w:p>
        </w:tc>
        <w:tc>
          <w:tcPr>
            <w:tcW w:w="18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3,990</w:t>
            </w:r>
          </w:p>
        </w:tc>
        <w:tc>
          <w:tcPr>
            <w:tcW w:w="8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2.3 %</w:t>
            </w:r>
          </w:p>
        </w:tc>
      </w:tr>
      <w:tr>
        <w:trPr>
          <w:trHeight w:val="236"/>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8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r>
      <w:tr>
        <w:trPr>
          <w:trHeight w:val="264"/>
        </w:trPr>
        <w:tc>
          <w:tcPr>
            <w:tcW w:w="7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(LOSS) INCOME ATTRIBUTABLE TO PORTILLO'S INC.</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DBDBDB"/>
            </w:tcBorders>
            <w:shd w:val="clear" w:color="auto" w:fill="DBDBDB"/>
          </w:tcPr>
          <w:p>
            <w:pPr>
              <w:spacing w:after="0"/>
              <w:rPr>
                <w:sz w:val="22"/>
                <w:szCs w:val="2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DBDBDB"/>
            </w:tcBorders>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3,313</w:t>
            </w:r>
          </w:p>
        </w:tc>
        <w:tc>
          <w:tcPr>
            <w:tcW w:w="80" w:type="dxa"/>
            <w:vAlign w:val="bottom"/>
            <w:tcBorders>
              <w:bottom w:val="single" w:sz="8" w:color="DBDBDB"/>
            </w:tcBorders>
            <w:shd w:val="clear" w:color="auto" w:fill="DBDBDB"/>
          </w:tcPr>
          <w:p>
            <w:pPr>
              <w:spacing w:after="0"/>
              <w:rPr>
                <w:sz w:val="22"/>
                <w:szCs w:val="2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71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Revenues, Net</w:t>
      </w:r>
    </w:p>
    <w:p>
      <w:pPr>
        <w:spacing w:after="0" w:line="19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Revenues primarily represent the aggregate sales of food and beverages, net of discounts. Sales taxes collected from customers are excluded from revenues. Revenues in any period are directly influenced by, among other factors, the number of operating weeks in the period, the number of open restaurants, restaurant traffic, our menu prices, third-party delivery platform prices and product mix.</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Revenues for the quarter ended March 29, 2026 were $182.6 million compared to $176.4 million for the quarter ended March 30, 2025, an increase of $6.2 million or 3.5%. The increase in revenues was primarily attributed to the opening of eight restaurants in fiscal 2025 and four restaurants during the quarter ended March 29, 2026, partially offset by a decrease in our same-restaurant sales. Restaurants not in our Comparable Restaurant Base (as defined in "Selected Operating Data" below) contributed $7.7 million of the total year-over-year increase. Same-restaurant sales decreased 0.1%, or $ 0.2 million in the quarter. The same-restaurant sales decline was attributable to a decrease in average check of 0.9%, partially offset by an increase in transactions of 0.8%. The lower average check was driven by an approximate 1.0% decrease in product mix, partially offset by a 0.1% increase in certain menu prices, net of promotional offers. For the purpose of calculating same-restaurant sales for the quarter ended March 29, 2026, sales for 83 restaurants that were open for at least 24 full fiscal periods were included in the Comparable Restaurant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revenue for the quarter ended March 29, 2026 and March 30, 2025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660" w:type="dxa"/>
            <w:vAlign w:val="bottom"/>
            <w:tcBorders>
              <w:bottom w:val="single" w:sz="8" w:color="DBDBDB"/>
            </w:tcBorders>
          </w:tcPr>
          <w:p>
            <w:pPr>
              <w:spacing w:after="0"/>
              <w:rPr>
                <w:sz w:val="21"/>
                <w:szCs w:val="21"/>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29, 2026</w:t>
            </w:r>
          </w:p>
        </w:tc>
        <w:tc>
          <w:tcPr>
            <w:tcW w:w="100" w:type="dxa"/>
            <w:vAlign w:val="bottom"/>
            <w:tcBorders>
              <w:bottom w:val="single" w:sz="8" w:color="DBDBDB"/>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30, 2025</w:t>
            </w:r>
          </w:p>
        </w:tc>
        <w:tc>
          <w:tcPr>
            <w:tcW w:w="100" w:type="dxa"/>
            <w:vAlign w:val="bottom"/>
            <w:tcBorders>
              <w:bottom w:val="single" w:sz="8" w:color="DBDBDB"/>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DBDBDB"/>
            </w:tcBorders>
          </w:tcPr>
          <w:p>
            <w:pPr>
              <w:spacing w:after="0"/>
              <w:rPr>
                <w:sz w:val="21"/>
                <w:szCs w:val="21"/>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40"/>
        </w:trPr>
        <w:tc>
          <w:tcPr>
            <w:tcW w:w="5660" w:type="dxa"/>
            <w:vAlign w:val="bottom"/>
            <w:shd w:val="clear" w:color="auto" w:fill="DBDBDB"/>
          </w:tcPr>
          <w:p>
            <w:pPr>
              <w:ind w:left="20"/>
              <w:spacing w:after="0" w:line="240" w:lineRule="exact"/>
              <w:rPr>
                <w:sz w:val="20"/>
                <w:szCs w:val="20"/>
                <w:color w:val="auto"/>
              </w:rPr>
            </w:pPr>
            <w:r>
              <w:rPr>
                <w:rFonts w:ascii="Arial" w:cs="Arial" w:eastAsia="Arial" w:hAnsi="Arial"/>
                <w:sz w:val="16"/>
                <w:szCs w:val="16"/>
                <w:color w:val="auto"/>
              </w:rPr>
              <w:t xml:space="preserve">Same-restaurant sales (83 restaurants) </w:t>
            </w:r>
            <w:r>
              <w:rPr>
                <w:rFonts w:ascii="Arial" w:cs="Arial" w:eastAsia="Arial" w:hAnsi="Arial"/>
                <w:sz w:val="21"/>
                <w:szCs w:val="21"/>
                <w:color w:val="auto"/>
                <w:vertAlign w:val="superscript"/>
              </w:rPr>
              <w:t>(1)</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161,263</w:t>
            </w: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161,420</w:t>
            </w: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w:t>
            </w:r>
          </w:p>
        </w:tc>
        <w:tc>
          <w:tcPr>
            <w:tcW w:w="15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76"/>
        </w:trPr>
        <w:tc>
          <w:tcPr>
            <w:tcW w:w="5660" w:type="dxa"/>
            <w:vAlign w:val="bottom"/>
          </w:tcPr>
          <w:p>
            <w:pPr>
              <w:ind w:left="20"/>
              <w:spacing w:after="0" w:line="175" w:lineRule="exact"/>
              <w:rPr>
                <w:sz w:val="20"/>
                <w:szCs w:val="20"/>
                <w:color w:val="auto"/>
              </w:rPr>
            </w:pPr>
            <w:r>
              <w:rPr>
                <w:rFonts w:ascii="Arial" w:cs="Arial" w:eastAsia="Arial" w:hAnsi="Arial"/>
                <w:sz w:val="16"/>
                <w:szCs w:val="16"/>
                <w:color w:val="auto"/>
              </w:rPr>
              <w:t>Restaurants not yet in comparable base opened in fiscal 2026 (4 restaurants)</w:t>
            </w:r>
          </w:p>
        </w:tc>
        <w:tc>
          <w:tcPr>
            <w:tcW w:w="3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1,536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1,536</w:t>
            </w:r>
          </w:p>
        </w:tc>
        <w:tc>
          <w:tcPr>
            <w:tcW w:w="1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35"/>
        </w:trPr>
        <w:tc>
          <w:tcPr>
            <w:tcW w:w="5660" w:type="dxa"/>
            <w:vAlign w:val="bottom"/>
          </w:tcPr>
          <w:p>
            <w:pPr>
              <w:ind w:left="20"/>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5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5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Restaurants not yet in comparable base opened in fiscal 2025 (8 restaurants)</w:t>
            </w:r>
          </w:p>
        </w:tc>
        <w:tc>
          <w:tcPr>
            <w:tcW w:w="360" w:type="dxa"/>
            <w:vAlign w:val="bottom"/>
            <w:shd w:val="clear" w:color="auto" w:fill="DBDBDB"/>
          </w:tcPr>
          <w:p>
            <w:pPr>
              <w:spacing w:after="0"/>
              <w:rPr>
                <w:sz w:val="15"/>
                <w:szCs w:val="15"/>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9,771</w:t>
            </w:r>
          </w:p>
        </w:tc>
        <w:tc>
          <w:tcPr>
            <w:tcW w:w="10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9,771</w:t>
            </w:r>
          </w:p>
        </w:tc>
        <w:tc>
          <w:tcPr>
            <w:tcW w:w="100" w:type="dxa"/>
            <w:vAlign w:val="bottom"/>
            <w:shd w:val="clear" w:color="auto" w:fill="DBDBDB"/>
          </w:tcPr>
          <w:p>
            <w:pPr>
              <w:spacing w:after="0"/>
              <w:rPr>
                <w:sz w:val="15"/>
                <w:szCs w:val="15"/>
                <w:color w:val="auto"/>
              </w:rPr>
            </w:pPr>
          </w:p>
        </w:tc>
        <w:tc>
          <w:tcPr>
            <w:tcW w:w="14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35"/>
        </w:trPr>
        <w:tc>
          <w:tcPr>
            <w:tcW w:w="5660" w:type="dxa"/>
            <w:vAlign w:val="bottom"/>
            <w:shd w:val="clear" w:color="auto" w:fill="DBDBDB"/>
          </w:tcPr>
          <w:p>
            <w:pPr>
              <w:ind w:left="20"/>
              <w:spacing w:after="0"/>
              <w:rPr>
                <w:sz w:val="20"/>
                <w:szCs w:val="20"/>
                <w:color w:val="auto"/>
              </w:rPr>
            </w:pPr>
            <w:r>
              <w:rPr>
                <w:rFonts w:ascii="Arial" w:cs="Arial" w:eastAsia="Arial" w:hAnsi="Arial"/>
                <w:sz w:val="11"/>
                <w:szCs w:val="11"/>
                <w:color w:val="auto"/>
              </w:rPr>
              <w:t>(1)</w:t>
            </w:r>
          </w:p>
        </w:tc>
        <w:tc>
          <w:tcPr>
            <w:tcW w:w="360" w:type="dxa"/>
            <w:vAlign w:val="bottom"/>
            <w:shd w:val="clear" w:color="auto" w:fill="DBDBDB"/>
          </w:tcPr>
          <w:p>
            <w:pPr>
              <w:spacing w:after="0"/>
              <w:rPr>
                <w:sz w:val="11"/>
                <w:szCs w:val="11"/>
                <w:color w:val="auto"/>
              </w:rPr>
            </w:pPr>
          </w:p>
        </w:tc>
        <w:tc>
          <w:tcPr>
            <w:tcW w:w="920" w:type="dxa"/>
            <w:vAlign w:val="bottom"/>
            <w:vMerge w:val="continue"/>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580" w:type="dxa"/>
            <w:vAlign w:val="bottom"/>
            <w:shd w:val="clear" w:color="auto" w:fill="DBDBDB"/>
          </w:tcPr>
          <w:p>
            <w:pPr>
              <w:spacing w:after="0"/>
              <w:rPr>
                <w:sz w:val="11"/>
                <w:szCs w:val="11"/>
                <w:color w:val="auto"/>
              </w:rPr>
            </w:pPr>
          </w:p>
        </w:tc>
        <w:tc>
          <w:tcPr>
            <w:tcW w:w="820" w:type="dxa"/>
            <w:vAlign w:val="bottom"/>
            <w:gridSpan w:val="2"/>
            <w:vMerge w:val="continue"/>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1100" w:type="dxa"/>
            <w:vAlign w:val="bottom"/>
            <w:vMerge w:val="continue"/>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20" w:type="dxa"/>
            <w:vAlign w:val="bottom"/>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660" w:type="dxa"/>
            <w:vAlign w:val="bottom"/>
            <w:shd w:val="clear" w:color="auto" w:fill="DBDBDB"/>
          </w:tcPr>
          <w:p>
            <w:pPr>
              <w:spacing w:after="0"/>
              <w:rPr>
                <w:sz w:val="5"/>
                <w:szCs w:val="5"/>
                <w:color w:val="auto"/>
              </w:rPr>
            </w:pPr>
          </w:p>
        </w:tc>
        <w:tc>
          <w:tcPr>
            <w:tcW w:w="360" w:type="dxa"/>
            <w:vAlign w:val="bottom"/>
            <w:shd w:val="clear" w:color="auto" w:fill="DBDBDB"/>
          </w:tcPr>
          <w:p>
            <w:pPr>
              <w:spacing w:after="0"/>
              <w:rPr>
                <w:sz w:val="5"/>
                <w:szCs w:val="5"/>
                <w:color w:val="auto"/>
              </w:rPr>
            </w:pPr>
          </w:p>
        </w:tc>
        <w:tc>
          <w:tcPr>
            <w:tcW w:w="920" w:type="dxa"/>
            <w:vAlign w:val="bottom"/>
            <w:vMerge w:val="continue"/>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580" w:type="dxa"/>
            <w:vAlign w:val="bottom"/>
            <w:shd w:val="clear" w:color="auto" w:fill="DBDBDB"/>
          </w:tcPr>
          <w:p>
            <w:pPr>
              <w:spacing w:after="0"/>
              <w:rPr>
                <w:sz w:val="5"/>
                <w:szCs w:val="5"/>
                <w:color w:val="auto"/>
              </w:rPr>
            </w:pPr>
          </w:p>
        </w:tc>
        <w:tc>
          <w:tcPr>
            <w:tcW w:w="820" w:type="dxa"/>
            <w:vAlign w:val="bottom"/>
            <w:gridSpan w:val="2"/>
            <w:vMerge w:val="continue"/>
            <w:shd w:val="clear" w:color="auto" w:fill="DBDBDB"/>
          </w:tcPr>
          <w:p>
            <w:pPr>
              <w:spacing w:after="0"/>
              <w:rPr>
                <w:sz w:val="5"/>
                <w:szCs w:val="5"/>
                <w:color w:val="auto"/>
              </w:rPr>
            </w:pPr>
          </w:p>
        </w:tc>
        <w:tc>
          <w:tcPr>
            <w:tcW w:w="180" w:type="dxa"/>
            <w:vAlign w:val="bottom"/>
            <w:shd w:val="clear" w:color="auto" w:fill="DBDBDB"/>
          </w:tcPr>
          <w:p>
            <w:pPr>
              <w:spacing w:after="0"/>
              <w:rPr>
                <w:sz w:val="5"/>
                <w:szCs w:val="5"/>
                <w:color w:val="auto"/>
              </w:rPr>
            </w:pPr>
          </w:p>
        </w:tc>
        <w:tc>
          <w:tcPr>
            <w:tcW w:w="1100" w:type="dxa"/>
            <w:vAlign w:val="bottom"/>
            <w:vMerge w:val="continue"/>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142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660" w:type="dxa"/>
            <w:vAlign w:val="bottom"/>
          </w:tcPr>
          <w:p>
            <w:pPr>
              <w:ind w:left="20"/>
              <w:spacing w:after="0"/>
              <w:rPr>
                <w:sz w:val="20"/>
                <w:szCs w:val="20"/>
                <w:color w:val="auto"/>
              </w:rPr>
            </w:pPr>
            <w:r>
              <w:rPr>
                <w:rFonts w:ascii="Arial" w:cs="Arial" w:eastAsia="Arial" w:hAnsi="Arial"/>
                <w:sz w:val="16"/>
                <w:szCs w:val="16"/>
                <w:color w:val="auto"/>
              </w:rPr>
              <w:t>Restaurants not yet in comparable base opened in fiscal 2024 (10</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60" w:type="dxa"/>
            <w:vAlign w:val="bottom"/>
          </w:tcPr>
          <w:p>
            <w:pPr>
              <w:ind w:left="20"/>
              <w:spacing w:after="0"/>
              <w:rPr>
                <w:sz w:val="20"/>
                <w:szCs w:val="20"/>
                <w:color w:val="auto"/>
              </w:rPr>
            </w:pPr>
            <w:r>
              <w:rPr>
                <w:rFonts w:ascii="Arial" w:cs="Arial" w:eastAsia="Arial" w:hAnsi="Arial"/>
                <w:sz w:val="16"/>
                <w:szCs w:val="16"/>
                <w:color w:val="auto"/>
              </w:rPr>
              <w:t xml:space="preserve">restaurants) </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8,363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(3,576)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43"/>
        </w:trPr>
        <w:tc>
          <w:tcPr>
            <w:tcW w:w="5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1,690</w:t>
            </w:r>
          </w:p>
        </w:tc>
        <w:tc>
          <w:tcPr>
            <w:tcW w:w="100" w:type="dxa"/>
            <w:vAlign w:val="bottom"/>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spacing w:after="0"/>
              <w:rPr>
                <w:sz w:val="21"/>
                <w:szCs w:val="21"/>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3,078</w:t>
            </w:r>
          </w:p>
        </w:tc>
        <w:tc>
          <w:tcPr>
            <w:tcW w:w="10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(1,388)</w:t>
            </w:r>
          </w:p>
        </w:tc>
        <w:tc>
          <w:tcPr>
            <w:tcW w:w="15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6"/>
                <w:szCs w:val="16"/>
                <w:color w:val="auto"/>
              </w:rPr>
              <w:t>Revenues, net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182,623</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176,437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Total restaurants indicated are as of March 29, 2026. Excludes a restaurant that is owned by C&amp;O of which Portillo’s owns 50% of the equity.</w:t>
      </w:r>
    </w:p>
    <w:p>
      <w:pPr>
        <w:ind w:left="180" w:hanging="172"/>
        <w:spacing w:after="0" w:line="197"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Includes revenue from direct shipping sales and non-traditional locations.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Food, Beverage and Packaging Costs</w:t>
      </w:r>
    </w:p>
    <w:p>
      <w:pPr>
        <w:spacing w:after="0" w:line="19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Food, beverage and packaging costs include the direct costs associated with food, beverage and packaging of our menu items and third-party delivery commissions. The components of food, beverage and packaging costs are variable by nature, change with sales volume, are impacted by product and channel mix and are subject to increases or decreases in commodity costs, as well as geographic scale and proximity</w:t>
      </w:r>
      <w:r>
        <w:rPr>
          <w:rFonts w:ascii="Arial" w:cs="Arial" w:eastAsia="Arial" w:hAnsi="Arial"/>
          <w:sz w:val="18"/>
          <w:szCs w:val="18"/>
          <w:i w:val="1"/>
          <w:iCs w:val="1"/>
          <w:color w:val="auto"/>
        </w:rPr>
        <w:t>.</w:t>
      </w:r>
    </w:p>
    <w:p>
      <w:pPr>
        <w:spacing w:after="0" w:line="2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Food, beverage and packaging costs for the quarter ended March 29, 2026 were $63.3 million compared to $61.1 million for the quarter ended March 30, 2025, an increase of $ 2.2 million or 3.6%. This increase was primarily driven by a 1.8% increase in commodity prices and the opening of eight restaurants in 2025 and four restaurants during the quarter ended March 29, 2026. As a percentage of revenues, net, food, beverage and packaging costs increased 0.1% during the quarter ended March 29, 2026. The increase was primarily due to an increase in certain commodity prices, partially offset by an increase in certain menu prices, net of promotional offers.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Labor Expenses</w:t>
      </w:r>
    </w:p>
    <w:p>
      <w:pPr>
        <w:spacing w:after="0" w:line="19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Labor expenses include hourly and management wages, bonuses and equity-based compensation, payroll taxes, workers’ compensation expense, and team member benefits. Factors that influence labor costs include wage inflation and payroll tax legislation, health care costs and the staffing needs of our restaurants</w:t>
      </w:r>
      <w:r>
        <w:rPr>
          <w:rFonts w:ascii="Arial" w:cs="Arial" w:eastAsia="Arial" w:hAnsi="Arial"/>
          <w:sz w:val="18"/>
          <w:szCs w:val="18"/>
          <w:i w:val="1"/>
          <w:iCs w:val="1"/>
          <w:color w:val="auto"/>
        </w:rPr>
        <w:t>.</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Labor expenses for the quarter ended March 29, 2026 were $49.2 million compared to $ 46.9 million for the quarter ended March 30, 2025, an increase of $2.3 million or 5.0%. This increase was primarily driven by the opening of eight restaurants in 2025 and four restaurants during the quarter ended March 29, 2026, and incremental investments to support our team members. As a percentage of revenues, net, labor increased 0.3% during the quarter ended March 29, 2026. The increase was primarily due to deleverage from our newer restaurant openings, higher benefit costs, and incremental wage rate increases, partially offset by labor efficiencies.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Occupancy Expenses</w:t>
      </w:r>
    </w:p>
    <w:p>
      <w:pPr>
        <w:spacing w:after="0" w:line="26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Occupancy expenses primarily consist of rent, property insurance and property taxes, and exclude occupancy expenses associated with unopened restaurants, which are recorded separately in pre-opening expenses.</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Occupancy expenses for the quarter ended March 29, 2026 were $11.2 million compared to $10.0 million for the quarter ended March 30, 2025, an increase of $1.2 million or 11.6%, primarily driven by the opening of eight restaurants in 2025 and four restaurants during the quarter ended March 29, 2026. As a percentage of revenues, net, occupancy expenses increased 0.4% primarily driven by higher occupancy costs and revenue deleverage at new restaurants.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Operating Expenses</w:t>
      </w:r>
    </w:p>
    <w:p>
      <w:pPr>
        <w:spacing w:after="0" w:line="24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Other operating expenses consist of direct marketing expenses, utilities and other expenses incidental to operating our restaurants, such as credit card fees and repairs and maintenance.</w:t>
      </w:r>
    </w:p>
    <w:p>
      <w:pPr>
        <w:spacing w:after="0" w:line="18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Other operating expenses for the quarter ended March 29, 2026 were $24.1 million compared to $21.8 million for the quarter ended March 30,</w:t>
      </w:r>
    </w:p>
    <w:p>
      <w:pPr>
        <w:sectPr>
          <w:pgSz w:w="11900" w:h="16838" w:orient="portrait"/>
          <w:cols w:equalWidth="0" w:num="1">
            <w:col w:w="11240"/>
          </w:cols>
          <w:pgMar w:left="320" w:top="364" w:right="339" w:bottom="1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1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2025, an increase of $2.3 million or 10.7%, primarily due to the opening of eight restaurants in 2025 and four restaurants during the quarter ended March 29, 2026, and an increase in repairs and maintenance, operating supplies and insurance expense partially offset by lower cleaning expenses. As a percentage of revenues, net, operating expenses increased 0.8% primarily due to the aforementioned increases in expenses and revenue deleverage at new restaurants.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General and Administrative Expenses</w:t>
      </w:r>
    </w:p>
    <w:p>
      <w:pPr>
        <w:spacing w:after="0" w:line="26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equity-based compensation expense. General and administrative expenses are impacted by changes in our team member count and costs related to strategic and growth initiatives.</w:t>
      </w:r>
    </w:p>
    <w:p>
      <w:pPr>
        <w:spacing w:after="0" w:line="203" w:lineRule="exact"/>
        <w:rPr>
          <w:sz w:val="20"/>
          <w:szCs w:val="20"/>
          <w:color w:val="auto"/>
        </w:rPr>
      </w:pPr>
    </w:p>
    <w:p>
      <w:pPr>
        <w:ind w:right="120"/>
        <w:spacing w:after="0" w:line="222" w:lineRule="exact"/>
        <w:rPr>
          <w:sz w:val="20"/>
          <w:szCs w:val="20"/>
          <w:color w:val="auto"/>
        </w:rPr>
      </w:pPr>
      <w:r>
        <w:rPr>
          <w:rFonts w:ascii="Arial" w:cs="Arial" w:eastAsia="Arial" w:hAnsi="Arial"/>
          <w:sz w:val="18"/>
          <w:szCs w:val="18"/>
          <w:color w:val="auto"/>
        </w:rPr>
        <w:t>General and administrative expenses for the quarter ended March 29, 2026 were $20.4 million compared to $18.9 million for the quarter ended March 30, 2025, an increase of $ 1.5 million or 7.7%. This increase was primarily driven by higher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and an increase in advertising and professional fees, including $0.5 million of dead site costs. The increase was partially offset by lower vacation-related wage expense, software licensing and legal expenses.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Pre-Opening Expenses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Pre-opening expenses consist primarily of wages, occupancy expenses, which represent rent expense recognized during the period between the date of possession and the restaurant opening date, travel for the opening team and other supporting team members, food, beverage, the initial stocking of operating supplies and legal fees.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experience higher pre-opening expenses than our established geographic market areas, such as the Chicagoland area, where we have greater economies of scale and incur lower travel and lodging costs for our training team.</w:t>
      </w:r>
    </w:p>
    <w:p>
      <w:pPr>
        <w:spacing w:after="0" w:line="21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Pre-opening expenses for the quarter ended March 29, 2026 were $2.6 million compared to $0.5 million for the quarter ended March 30, 2025, an increase of $2.0 million or 402.0%. The increase was due to the number and timing of activities related to our planned restaurant openings, including higher pre-opening activity associated with new market locations, for the quarter ended March 29, 2026 as compared to the quarter ended March 30, 2025.</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Depreciation and Amortization</w:t>
      </w:r>
    </w:p>
    <w:p>
      <w:pPr>
        <w:spacing w:after="0" w:line="2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Depreciation and amortization expenses consist of the depreciation of fixed assets, including land improvements, buildings and improvements, fixtures and equipment, leasehold improvements, and the amortization of definite-lived intangible assets, which are primarily comprised of recipes.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Depreciation and amortization expense for the quarter ended March 29, 2026 was $7.9 million compared to $7.0 million for the quarter ended March 30, 2025, an increase of $0.9 million or 12.7%. This increase was primarily attributable to incremental depreciation of capital expenditures related to the opening of eight restaurants in 2025 and four restaurants during the quarter ended March 29, 2026.</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Equity Method Investment</w:t>
      </w: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income attributable to equity method investment consists of a 50% interest in C&amp;O, which runs a single restaurant located within the Chicagoland market. We account for the investment and financial results in the condensed consolidated financial statements under the equity method of accounting as we have significant influence but do not have control.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equity method investment for both the quarters ended March 29, 2026 and March 30, 2025 was $0.2 million.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Income, Net</w:t>
      </w:r>
    </w:p>
    <w:p>
      <w:pPr>
        <w:spacing w:after="0" w:line="26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Other income, net, includes among other items, management fee income associated with our investment in C&amp;O, trading gains or losses on our deferred compensation plan, gains or losses on asset disposals, and income resulting from discounts received for timely filing of sales tax</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returns.</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Other income, net, for the quarter ended March 29, 2026 was $0.3 million compared to $0.01 million for the quarter ended March 30, 2025, an increase of $0.3 million. This increase was primarily attributable to insurance proceeds received and a vendor settlement.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Expense</w:t>
      </w:r>
    </w:p>
    <w:p>
      <w:pPr>
        <w:spacing w:after="0" w:line="26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Interest expense primarily consists of interest and fees on our credit facilities and the amortization expense for debt discount and deferred issuance costs.</w:t>
      </w:r>
    </w:p>
    <w:p>
      <w:pPr>
        <w:spacing w:after="0" w:line="18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Interest expense for the quarter ended March 29, 2026 was $5.6 million compared to $5.7 million for the quarter ended March 30, 2025, a decrease of $0.1 million or 2.1%. This decrease was primarily driven by a year-over-year lower effective interest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interest rate was 6.52% as of March 29, 2026 and 7.02% as of March 30, 2025.</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primarily consists of interest earned on our cash, cash equivalents and restricted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both the quarters ended March 29, 2026 and March 30, 2025 was $0.1 million.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 Liability Adjustment</w:t>
      </w:r>
    </w:p>
    <w:p>
      <w:pPr>
        <w:spacing w:after="0" w:line="26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party to a Tax Receivable Agreement liability with certain members of PHD Group Holdings LLC and its subsidiaries ("Portillo's OpCo”) that provides for the payment by us of 85% of the amount of tax benefits, if any, that Portillo's Inc. actually realizes or in some cases is deemed to realize as a result of certain transactions.</w:t>
      </w:r>
    </w:p>
    <w:p>
      <w:pPr>
        <w:spacing w:after="0" w:line="19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Tax Receivable Agreement liability adjustment for the quarter ended March 29, 2026 was $0.4 million compared to $ 0.6 million for the quarter ended March 30, 2025. The change was related to a remeasurement primarily due to activity under equity-based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(Benefit) Expense</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Portillo's OpCo is treated as a partnership for U.S. federal, as well as state and local income tax purposes and is not subject to taxes. Rather, any taxable income or loss generated by Portillo's OpCo is allocated to its members in relation to their respective ownership percentage of Portillo's OpCo. We are subject to U.S. federal, as well as state and local, income taxes with respect to our allocable share of any taxable income or loss of Portillo's OpCo, as well as any stand-alone income or loss generated by Portillo's Inc.</w:t>
      </w:r>
    </w:p>
    <w:p>
      <w:pPr>
        <w:spacing w:after="0" w:line="20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Income tax benefit for the quarter ended March 29, 2026 was $0.2 million compared to income tax expense of $1.4 million for the quarter ended March 30, 2025, a decrease of $1.5 million or 112.1%. Our effective income tax rate for the quarter ended March 29, 2026 was 24.4%, compared to 25.4% for the quarter ended March 30, 2025. The decrease in our effective income tax rate for the quarter ended March 29, 2026 compared to the quarter ended March 30, 2025 was primarily driven by an increase in the valuation allowance related to equity-based compensation expense for certain executive officers. This decreases the effective income tax rate because the Company recorded a pre-tax loss for the quarter ended March 29, 2026. This decrease is partially offset by an increase in the Company's ownership interest in Portillo's OpCo, which increases its share of taxable income (loss) of Portillo's OpCo.</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(Loss) Income Attributable to Non-controlling Interests</w:t>
      </w:r>
    </w:p>
    <w:p>
      <w:pPr>
        <w:spacing w:after="0" w:line="2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the sole managing member of Portillo's OpCo. We manage and operate the business and control the strategic decisions and day-to-day operations of Portillo’s OpCo and we also have a substantial financial interest in Portillo’s OpCo. Accordingly, we consolidate the financial results of Portillo’s OpCo, and a portion of our net (loss) income is allocated to non-controlling interests to reflect the entitlement of the pre-IPO LLC Members who retained their equity ownership in Portillo's OpCo (the "pre-IPO LLC Members"). The weighted average ownership percentages for the applicable reporting periods are used to attribute net (loss) income to Portillo's Inc. and the non-controlling interest holders.</w:t>
      </w:r>
    </w:p>
    <w:p>
      <w:pPr>
        <w:spacing w:after="0" w:line="20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Net loss attributable to non-controlling interests for the quarter ended March 29, 2026 was $0.1 million, compared to net income attributable to</w:t>
      </w:r>
    </w:p>
    <w:p>
      <w:pPr>
        <w:sectPr>
          <w:pgSz w:w="11900" w:h="16838" w:orient="portrait"/>
          <w:cols w:equalWidth="0" w:num="1">
            <w:col w:w="11240"/>
          </w:cols>
          <w:pgMar w:left="320" w:top="364" w:right="339" w:bottom="10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059"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non-controlling interests of $0.7 million for the quarter ended March 30, 2025, a decrease of $0.8 million or 115.8%. The decrease in net income attributable to non-controlling interests for the quarter ended March 29, 2026 was primarily due to a decrease in net income for the quarter ended March 29, 2026, partially offset by a decrease in the pre-IPO LLC Members non-controlling interest holders' weighted average ownership to 4.6% for the quarter ended March 29, 2026 from 14.4% for the quarter ended March 30, 2025.</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Selected Operating Data and Non-GAAP Financial Measures</w:t>
      </w: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the GAAP measures presented in our financial statements, we use the following selected operating data and non-GAAP financial measures to evaluate our business, measure our performance, develop financial forecasts and make strategic decisions. These key measures include restaurant openings, average unit volume ("AUV"), same-restaurant sales, Adjusted EBITDA, Adjusted EBITDA Margin, Restaurant-Level Adjusted EBITDA and Restaurant-Level Adjusted EBITDA Margin. The Company includes these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4"/>
          </w:tcPr>
          <w:p>
            <w:pPr>
              <w:jc w:val="right"/>
              <w:ind w:right="155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6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29, 2026</w:t>
            </w:r>
          </w:p>
        </w:tc>
        <w:tc>
          <w:tcPr>
            <w:tcW w:w="300" w:type="dxa"/>
            <w:vAlign w:val="bottom"/>
          </w:tcPr>
          <w:p>
            <w:pPr>
              <w:spacing w:after="0"/>
              <w:rPr>
                <w:sz w:val="21"/>
                <w:szCs w:val="21"/>
                <w:color w:val="auto"/>
              </w:rPr>
            </w:pPr>
          </w:p>
        </w:tc>
        <w:tc>
          <w:tcPr>
            <w:tcW w:w="1860" w:type="dxa"/>
            <w:vAlign w:val="bottom"/>
          </w:tcPr>
          <w:p>
            <w:pPr>
              <w:jc w:val="right"/>
              <w:ind w:right="419"/>
              <w:spacing w:after="0"/>
              <w:rPr>
                <w:sz w:val="20"/>
                <w:szCs w:val="20"/>
                <w:color w:val="auto"/>
              </w:rPr>
            </w:pPr>
            <w:r>
              <w:rPr>
                <w:rFonts w:ascii="Arial" w:cs="Arial" w:eastAsia="Arial" w:hAnsi="Arial"/>
                <w:sz w:val="16"/>
                <w:szCs w:val="16"/>
                <w:b w:val="1"/>
                <w:bCs w:val="1"/>
                <w:color w:val="auto"/>
              </w:rPr>
              <w:t>March 30, 2025</w:t>
            </w:r>
          </w:p>
        </w:tc>
      </w:tr>
      <w:tr>
        <w:trPr>
          <w:trHeight w:val="240"/>
        </w:trPr>
        <w:tc>
          <w:tcPr>
            <w:tcW w:w="6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Restaurants (a)</w:t>
            </w:r>
          </w:p>
        </w:tc>
        <w:tc>
          <w:tcPr>
            <w:tcW w:w="320" w:type="dxa"/>
            <w:vAlign w:val="bottom"/>
            <w:tcBorders>
              <w:top w:val="single" w:sz="8" w:color="auto"/>
            </w:tcBorders>
            <w:shd w:val="clear" w:color="auto" w:fill="DBDBDB"/>
          </w:tcPr>
          <w:p>
            <w:pPr>
              <w:spacing w:after="0"/>
              <w:rPr>
                <w:sz w:val="20"/>
                <w:szCs w:val="20"/>
                <w:color w:val="auto"/>
              </w:rPr>
            </w:pPr>
          </w:p>
        </w:tc>
        <w:tc>
          <w:tcPr>
            <w:tcW w:w="1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top w:val="single" w:sz="8" w:color="DBDBDB"/>
            </w:tcBorders>
            <w:shd w:val="clear" w:color="auto" w:fill="DBDBDB"/>
          </w:tcPr>
          <w:p>
            <w:pPr>
              <w:spacing w:after="0"/>
              <w:rPr>
                <w:sz w:val="20"/>
                <w:szCs w:val="20"/>
                <w:color w:val="auto"/>
              </w:rPr>
            </w:pPr>
          </w:p>
        </w:tc>
        <w:tc>
          <w:tcPr>
            <w:tcW w:w="300" w:type="dxa"/>
            <w:vAlign w:val="bottom"/>
            <w:tcBorders>
              <w:top w:val="single" w:sz="8" w:color="auto"/>
            </w:tcBorders>
            <w:shd w:val="clear" w:color="auto" w:fill="DBDBDB"/>
          </w:tcPr>
          <w:p>
            <w:pPr>
              <w:spacing w:after="0"/>
              <w:rPr>
                <w:sz w:val="20"/>
                <w:szCs w:val="20"/>
                <w:color w:val="auto"/>
              </w:rPr>
            </w:pPr>
          </w:p>
        </w:tc>
        <w:tc>
          <w:tcPr>
            <w:tcW w:w="1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94</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color w:val="auto"/>
              </w:rPr>
              <w:t>AUV (in millions) (a)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8.7</w:t>
            </w:r>
          </w:p>
        </w:tc>
      </w:tr>
      <w:tr>
        <w:trPr>
          <w:trHeight w:val="251"/>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Change in same-restaurant sales (b)</w:t>
            </w:r>
          </w:p>
        </w:tc>
        <w:tc>
          <w:tcPr>
            <w:tcW w:w="320" w:type="dxa"/>
            <w:vAlign w:val="bottom"/>
            <w:shd w:val="clear" w:color="auto" w:fill="DBDBDB"/>
          </w:tcPr>
          <w:p>
            <w:pPr>
              <w:spacing w:after="0"/>
              <w:rPr>
                <w:sz w:val="21"/>
                <w:szCs w:val="21"/>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1.8 %</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color w:val="auto"/>
              </w:rPr>
              <w:t>Adjusted EBITDA (in thousands) (b)</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18,453</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21,209</w:t>
            </w:r>
          </w:p>
        </w:tc>
      </w:tr>
      <w:tr>
        <w:trPr>
          <w:trHeight w:val="251"/>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Margin (b)</w:t>
            </w:r>
          </w:p>
        </w:tc>
        <w:tc>
          <w:tcPr>
            <w:tcW w:w="320" w:type="dxa"/>
            <w:vAlign w:val="bottom"/>
            <w:shd w:val="clear" w:color="auto" w:fill="DBDBDB"/>
          </w:tcPr>
          <w:p>
            <w:pPr>
              <w:spacing w:after="0"/>
              <w:rPr>
                <w:sz w:val="21"/>
                <w:szCs w:val="21"/>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10.1 %</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12.0 %</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color w:val="auto"/>
              </w:rPr>
              <w:t>Restaurant-Level Adjusted EBITDA (in thousands) (b)</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34,844</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36,656</w:t>
            </w:r>
          </w:p>
        </w:tc>
      </w:tr>
      <w:tr>
        <w:trPr>
          <w:trHeight w:val="251"/>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 (b)</w:t>
            </w:r>
          </w:p>
        </w:tc>
        <w:tc>
          <w:tcPr>
            <w:tcW w:w="320" w:type="dxa"/>
            <w:vAlign w:val="bottom"/>
            <w:shd w:val="clear" w:color="auto" w:fill="DBDBDB"/>
          </w:tcPr>
          <w:p>
            <w:pPr>
              <w:spacing w:after="0"/>
              <w:rPr>
                <w:sz w:val="21"/>
                <w:szCs w:val="21"/>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19.1 %</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20.8 %</w:t>
            </w:r>
          </w:p>
        </w:tc>
      </w:tr>
    </w:tbl>
    <w:p>
      <w:pPr>
        <w:spacing w:after="0" w:line="80" w:lineRule="exact"/>
        <w:rPr>
          <w:sz w:val="20"/>
          <w:szCs w:val="20"/>
          <w:color w:val="auto"/>
        </w:rPr>
      </w:pPr>
    </w:p>
    <w:p>
      <w:pPr>
        <w:ind w:right="20" w:firstLine="8"/>
        <w:spacing w:after="0" w:line="263"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a restaurant that is owned by C&amp;O, of which Portillo’s owns 50% of the equity. AUVs for the quarters ended March 29, 2026 and March 30, 2025 represent AUVs for the twelve months ended March 29, 2026 and March 30, 2025, respectively. Total restaurants indicated are as of March 29, 2026.</w:t>
      </w: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C&amp;O.</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 in Same-Restaurant Sales</w:t>
      </w:r>
    </w:p>
    <w:p>
      <w:pPr>
        <w:spacing w:after="0" w:line="26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change in same-restaurant sales is the percentage change in year-over-year revenue for the comparable restaurant base, which is defined as the number of restaurants open for at least 24 full fiscal periods (the “Comparable Restaurant Base”). For the quarter ended March 29, 2026 and March 30, 2025, there were 83 and 74 restaurants in our Comparable Restaurant Base, respectively. The Comparable Restaurant Base excludes C&amp;O.</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change in same-restaurant sales is the result of a change in restaurant transactions, average guest check, or a combination of the two. We gather daily sales data and regularly analyze the guest transaction counts and the mix of menu items sold to strategically evaluate menu pricing and demand. Measuring our change in same-restaurant sales allows management to evaluate the performance of our existing restaurant base. We believe this measure provides a consistent comparison of restaurant sales results and trends across periods within our core, established restaurant base, unaffected by results of restaurant openings and enables investors to better understand and evaluate the Company’s historical and prospective operating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Average Unit Volume ("AUV")</w:t>
      </w:r>
    </w:p>
    <w:p>
      <w:pPr>
        <w:spacing w:after="0" w:line="24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AUV is the total revenue (excluding gift card and Perks breakage) recognized in the Comparable Restaurant Base, including C&amp;O, divided by the number of restaurants in the Comparable Restaurant Base, including C&amp;O, by period.</w:t>
      </w:r>
    </w:p>
    <w:p>
      <w:pPr>
        <w:spacing w:after="0" w:line="18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This key performance indicator allows management to assess changes in consumer spending patterns at our restaurants and the overall performance of our restaurant base.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Non-GAAP Financial Measures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supplement the condensed consolidated financial statements, which are prepared and presented in accordance with GAAP, we use the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non-GAAP financial measures: Adjusted EBITDA and Adjusted EBITDA Margin, and Restaurant-Level Adjusted EBITDA and Restaurant-Level Adjusted EBITDA Margin. Accordingly, these measures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stockholders because of corporate-level expenses excluded from such measures. These measures are supplemental 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Adjusted EBITDA and Adjusted EBITDA Margin</w:t>
      </w:r>
    </w:p>
    <w:p>
      <w:pPr>
        <w:spacing w:after="0" w:line="26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Adjusted EBITDA represents net (loss) income before depreciation and amortization, interest expense, interest income and income taxes, adjusted for the impact of certain non-cash and other items that we do not consider in our evaluation of ongoing core operating performance as identified in the reconciliation of net (loss) income, the most directly comparable GAAP measure to Adjusted EBITDA. Adjusted EBITDA Margin represents Adjusted EBITDA as a percentage of revenues, net.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use Adjusted EBITDA and Adjusted EBITDA Margin (i) to evaluate our operating results and the effectiveness of our business strategies,</w:t>
      </w:r>
    </w:p>
    <w:p>
      <w:pPr>
        <w:spacing w:after="0" w:line="27" w:lineRule="exact"/>
        <w:rPr>
          <w:sz w:val="20"/>
          <w:szCs w:val="20"/>
          <w:color w:val="auto"/>
        </w:rPr>
      </w:pPr>
    </w:p>
    <w:p>
      <w:pPr>
        <w:ind w:right="880" w:firstLine="8"/>
        <w:spacing w:after="0" w:line="266"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internally as benchmarks to compare our performance to that of our competitors and (iii) as factors in evaluating management’s performance when determining incentive compensation.</w:t>
      </w:r>
    </w:p>
    <w:p>
      <w:pPr>
        <w:spacing w:after="0" w:line="19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believe that Adjusted EBITDA and Adjusted EBITDA Margin are important measures of operating performance because they eliminate the impact of expenses that do not relate to our core operating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(loss) income to Adjusted EBITDA and Adjusted EBITDA margin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4"/>
          </w:tcPr>
          <w:p>
            <w:pPr>
              <w:jc w:val="right"/>
              <w:ind w:right="157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6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29, 2026</w:t>
            </w:r>
          </w:p>
        </w:tc>
        <w:tc>
          <w:tcPr>
            <w:tcW w:w="300" w:type="dxa"/>
            <w:vAlign w:val="bottom"/>
          </w:tcPr>
          <w:p>
            <w:pPr>
              <w:spacing w:after="0"/>
              <w:rPr>
                <w:sz w:val="21"/>
                <w:szCs w:val="21"/>
                <w:color w:val="auto"/>
              </w:rPr>
            </w:pPr>
          </w:p>
        </w:tc>
        <w:tc>
          <w:tcPr>
            <w:tcW w:w="1860" w:type="dxa"/>
            <w:vAlign w:val="bottom"/>
          </w:tcPr>
          <w:p>
            <w:pPr>
              <w:jc w:val="right"/>
              <w:ind w:right="419"/>
              <w:spacing w:after="0"/>
              <w:rPr>
                <w:sz w:val="20"/>
                <w:szCs w:val="20"/>
                <w:color w:val="auto"/>
              </w:rPr>
            </w:pPr>
            <w:r>
              <w:rPr>
                <w:rFonts w:ascii="Arial" w:cs="Arial" w:eastAsia="Arial" w:hAnsi="Arial"/>
                <w:sz w:val="16"/>
                <w:szCs w:val="16"/>
                <w:b w:val="1"/>
                <w:bCs w:val="1"/>
                <w:color w:val="auto"/>
              </w:rPr>
              <w:t>March 30, 2025</w:t>
            </w:r>
          </w:p>
        </w:tc>
      </w:tr>
      <w:tr>
        <w:trPr>
          <w:trHeight w:val="240"/>
        </w:trPr>
        <w:tc>
          <w:tcPr>
            <w:tcW w:w="6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(509)</w:t>
            </w:r>
          </w:p>
        </w:tc>
        <w:tc>
          <w:tcPr>
            <w:tcW w:w="100" w:type="dxa"/>
            <w:vAlign w:val="bottom"/>
            <w:tcBorders>
              <w:top w:val="single" w:sz="8" w:color="DBDBDB"/>
            </w:tcBorders>
            <w:shd w:val="clear" w:color="auto" w:fill="DBDBDB"/>
          </w:tcPr>
          <w:p>
            <w:pPr>
              <w:spacing w:after="0"/>
              <w:rPr>
                <w:sz w:val="20"/>
                <w:szCs w:val="20"/>
                <w:color w:val="auto"/>
              </w:rPr>
            </w:pPr>
          </w:p>
        </w:tc>
        <w:tc>
          <w:tcPr>
            <w:tcW w:w="3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3,990</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i w:val="1"/>
                <w:iCs w:val="1"/>
                <w:color w:val="auto"/>
              </w:rPr>
              <w:t>Net (loss) income margin</w:t>
            </w: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i w:val="1"/>
                <w:iCs w:val="1"/>
                <w:color w:val="auto"/>
              </w:rPr>
              <w:t>(0.3)%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i w:val="1"/>
                <w:iCs w:val="1"/>
                <w:color w:val="auto"/>
              </w:rPr>
              <w:t>2.3 %</w:t>
            </w:r>
          </w:p>
        </w:tc>
      </w:tr>
      <w:tr>
        <w:trPr>
          <w:trHeight w:val="251"/>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7,936</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7,040</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1860" w:type="dxa"/>
            <w:vAlign w:val="bottom"/>
          </w:tcPr>
          <w:p>
            <w:pPr>
              <w:jc w:val="right"/>
              <w:ind w:right="139"/>
              <w:spacing w:after="0"/>
              <w:rPr>
                <w:sz w:val="20"/>
                <w:szCs w:val="20"/>
                <w:color w:val="auto"/>
              </w:rPr>
            </w:pPr>
            <w:r>
              <w:rPr>
                <w:rFonts w:ascii="Arial" w:cs="Arial" w:eastAsia="Arial" w:hAnsi="Arial"/>
                <w:sz w:val="16"/>
                <w:szCs w:val="16"/>
                <w:color w:val="auto"/>
              </w:rPr>
              <w:t>5,627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5,749</w:t>
            </w:r>
          </w:p>
        </w:tc>
      </w:tr>
      <w:tr>
        <w:trPr>
          <w:trHeight w:val="251"/>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(71)</w:t>
            </w:r>
          </w:p>
        </w:tc>
      </w:tr>
      <w:tr>
        <w:trPr>
          <w:trHeight w:val="237"/>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(benefit) expense</w:t>
            </w: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1,360</w:t>
            </w:r>
          </w:p>
        </w:tc>
      </w:tr>
      <w:tr>
        <w:trPr>
          <w:trHeight w:val="243"/>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12,840</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18,068</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color w:val="auto"/>
              </w:rPr>
              <w:t>Deferred rent (1)</w:t>
            </w:r>
          </w:p>
        </w:tc>
        <w:tc>
          <w:tcPr>
            <w:tcW w:w="300" w:type="dxa"/>
            <w:vAlign w:val="bottom"/>
          </w:tcPr>
          <w:p>
            <w:pPr>
              <w:spacing w:after="0"/>
              <w:rPr>
                <w:sz w:val="20"/>
                <w:szCs w:val="20"/>
                <w:color w:val="auto"/>
              </w:rPr>
            </w:pPr>
          </w:p>
        </w:tc>
        <w:tc>
          <w:tcPr>
            <w:tcW w:w="1860" w:type="dxa"/>
            <w:vAlign w:val="bottom"/>
          </w:tcPr>
          <w:p>
            <w:pPr>
              <w:jc w:val="right"/>
              <w:ind w:right="139"/>
              <w:spacing w:after="0"/>
              <w:rPr>
                <w:sz w:val="20"/>
                <w:szCs w:val="20"/>
                <w:color w:val="auto"/>
              </w:rPr>
            </w:pPr>
            <w:r>
              <w:rPr>
                <w:rFonts w:ascii="Arial" w:cs="Arial" w:eastAsia="Arial" w:hAnsi="Arial"/>
                <w:sz w:val="16"/>
                <w:szCs w:val="16"/>
                <w:color w:val="auto"/>
              </w:rPr>
              <w:t>1,734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1,376</w:t>
            </w:r>
          </w:p>
        </w:tc>
      </w:tr>
      <w:tr>
        <w:trPr>
          <w:trHeight w:val="251"/>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Equity-based compensation</w:t>
            </w: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3,230</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1,950</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color w:val="auto"/>
              </w:rPr>
              <w:t>Cloud-based software implementation costs (2)</w:t>
            </w:r>
          </w:p>
        </w:tc>
        <w:tc>
          <w:tcPr>
            <w:tcW w:w="30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183</w:t>
            </w:r>
          </w:p>
        </w:tc>
      </w:tr>
      <w:tr>
        <w:trPr>
          <w:trHeight w:val="251"/>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Amortization of cloud-based software implementation costs (3)</w:t>
            </w: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218</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color w:val="auto"/>
              </w:rPr>
              <w:t>Other loss (4)</w:t>
            </w:r>
          </w:p>
        </w:tc>
        <w:tc>
          <w:tcPr>
            <w:tcW w:w="300" w:type="dxa"/>
            <w:vAlign w:val="bottom"/>
          </w:tcPr>
          <w:p>
            <w:pPr>
              <w:spacing w:after="0"/>
              <w:rPr>
                <w:sz w:val="20"/>
                <w:szCs w:val="20"/>
                <w:color w:val="auto"/>
              </w:rPr>
            </w:pPr>
          </w:p>
        </w:tc>
        <w:tc>
          <w:tcPr>
            <w:tcW w:w="1860" w:type="dxa"/>
            <w:vAlign w:val="bottom"/>
          </w:tcPr>
          <w:p>
            <w:pPr>
              <w:jc w:val="right"/>
              <w:ind w:right="1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61</w:t>
            </w:r>
          </w:p>
        </w:tc>
      </w:tr>
      <w:tr>
        <w:trPr>
          <w:trHeight w:val="251"/>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Strategic realignment costs (5)</w:t>
            </w: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Tax Receivable Agreement liability adjustment (6)</w:t>
            </w: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(647)</w:t>
            </w:r>
          </w:p>
        </w:tc>
      </w:tr>
      <w:tr>
        <w:trPr>
          <w:trHeight w:val="236"/>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18,453</w:t>
            </w:r>
          </w:p>
        </w:tc>
        <w:tc>
          <w:tcPr>
            <w:tcW w:w="100" w:type="dxa"/>
            <w:vAlign w:val="bottom"/>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21,209</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i w:val="1"/>
                <w:iCs w:val="1"/>
                <w:color w:val="auto"/>
              </w:rPr>
              <w:t>Adjusted EBITDA Margin (7)</w:t>
            </w: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10.1 %</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12.0 %</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difference between cash rent payments and the recognition of straight-line rent expense recognized over the lease term.</w:t>
      </w:r>
    </w:p>
    <w:p>
      <w:pPr>
        <w:spacing w:after="0" w:line="30" w:lineRule="exact"/>
        <w:rPr>
          <w:rFonts w:ascii="Arial" w:cs="Arial" w:eastAsia="Arial" w:hAnsi="Arial"/>
          <w:sz w:val="16"/>
          <w:szCs w:val="16"/>
          <w:color w:val="auto"/>
        </w:rPr>
      </w:pPr>
    </w:p>
    <w:p>
      <w:pPr>
        <w:ind w:right="400" w:firstLine="8"/>
        <w:spacing w:after="0" w:line="249"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non-capitalized third party consulting and software licensing costs incurred in connection with the implementation of a new HCM system which are included within general and administrative expenses.</w:t>
      </w:r>
    </w:p>
    <w:p>
      <w:pPr>
        <w:ind w:right="440" w:firstLine="8"/>
        <w:spacing w:after="0" w:line="255"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amortization of capitalized cloud-based ERP and HCM system implementation costs that are included within general and administrative expenses.</w:t>
      </w: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loss on disposal of property and equipment included within other income, net.</w:t>
      </w:r>
    </w:p>
    <w:p>
      <w:pPr>
        <w:spacing w:after="0" w:line="5" w:lineRule="exact"/>
        <w:rPr>
          <w:rFonts w:ascii="Arial" w:cs="Arial" w:eastAsia="Arial" w:hAnsi="Arial"/>
          <w:sz w:val="16"/>
          <w:szCs w:val="16"/>
          <w:color w:val="auto"/>
        </w:rPr>
      </w:pPr>
    </w:p>
    <w:p>
      <w:pPr>
        <w:ind w:right="160" w:firstLine="8"/>
        <w:spacing w:after="0" w:line="248"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$0.5 million of costs related to the Company's strategic reset of its development and growth plans and $0.2 million related to CEO transition and replacement costs. These costs are included within general and administrative expenses.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remeasurement of the Tax Receivable Agreement liability.</w:t>
      </w:r>
    </w:p>
    <w:p>
      <w:pPr>
        <w:spacing w:after="0" w:line="7"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Margin is defined as Adjusted EBITDA divided by Revenues, net.</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Restaurant-Level Adjusted EBITDA and Restaurant-Level Adjusted EBITDA Margin</w:t>
      </w:r>
    </w:p>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Restaurant-Level Adjusted EBITDA is defined as revenue, less restaurant operating expenses, which include food, beverage and packaging costs,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revenues, net.</w:t>
      </w:r>
    </w:p>
    <w:p>
      <w:pPr>
        <w:spacing w:after="0" w:line="20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believe that Restaurant-Level Adjusted EBITDA and Restaurant-Level Adjusted EBITDA Margin are important measures to evaluate the performance and profitability of our restaurants, individually and in the aggregate.</w:t>
      </w:r>
    </w:p>
    <w:p>
      <w:pPr>
        <w:spacing w:after="0" w:line="180"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color w:val="auto"/>
        </w:rPr>
        <w:t>The following table reconciles operating income to Restaurant-Level Adjusted EBITDA and Restaurant-Level Adjusted EBITDA Margin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4"/>
          </w:tcPr>
          <w:p>
            <w:pPr>
              <w:jc w:val="right"/>
              <w:ind w:right="155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6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29, 2026</w:t>
            </w:r>
          </w:p>
        </w:tc>
        <w:tc>
          <w:tcPr>
            <w:tcW w:w="300" w:type="dxa"/>
            <w:vAlign w:val="bottom"/>
          </w:tcPr>
          <w:p>
            <w:pPr>
              <w:spacing w:after="0"/>
              <w:rPr>
                <w:sz w:val="21"/>
                <w:szCs w:val="21"/>
                <w:color w:val="auto"/>
              </w:rPr>
            </w:pPr>
          </w:p>
        </w:tc>
        <w:tc>
          <w:tcPr>
            <w:tcW w:w="1860" w:type="dxa"/>
            <w:vAlign w:val="bottom"/>
          </w:tcPr>
          <w:p>
            <w:pPr>
              <w:jc w:val="right"/>
              <w:ind w:right="419"/>
              <w:spacing w:after="0"/>
              <w:rPr>
                <w:sz w:val="20"/>
                <w:szCs w:val="20"/>
                <w:color w:val="auto"/>
              </w:rPr>
            </w:pPr>
            <w:r>
              <w:rPr>
                <w:rFonts w:ascii="Arial" w:cs="Arial" w:eastAsia="Arial" w:hAnsi="Arial"/>
                <w:sz w:val="16"/>
                <w:szCs w:val="16"/>
                <w:b w:val="1"/>
                <w:bCs w:val="1"/>
                <w:color w:val="auto"/>
              </w:rPr>
              <w:t>March 30, 2025</w:t>
            </w:r>
          </w:p>
        </w:tc>
      </w:tr>
      <w:tr>
        <w:trPr>
          <w:trHeight w:val="240"/>
        </w:trPr>
        <w:tc>
          <w:tcPr>
            <w:tcW w:w="6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4,492</w:t>
            </w:r>
          </w:p>
        </w:tc>
        <w:tc>
          <w:tcPr>
            <w:tcW w:w="100" w:type="dxa"/>
            <w:vAlign w:val="bottom"/>
            <w:tcBorders>
              <w:top w:val="single" w:sz="8" w:color="DBDBDB"/>
            </w:tcBorders>
            <w:shd w:val="clear" w:color="auto" w:fill="DBDBDB"/>
          </w:tcPr>
          <w:p>
            <w:pPr>
              <w:spacing w:after="0"/>
              <w:rPr>
                <w:sz w:val="20"/>
                <w:szCs w:val="20"/>
                <w:color w:val="auto"/>
              </w:rPr>
            </w:pPr>
          </w:p>
        </w:tc>
        <w:tc>
          <w:tcPr>
            <w:tcW w:w="3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10,381</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i w:val="1"/>
                <w:iCs w:val="1"/>
                <w:color w:val="auto"/>
              </w:rPr>
              <w:t>Operating income margin</w:t>
            </w: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i w:val="1"/>
                <w:iCs w:val="1"/>
                <w:color w:val="auto"/>
              </w:rPr>
              <w:t>2.5 %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i w:val="1"/>
                <w:iCs w:val="1"/>
                <w:color w:val="auto"/>
              </w:rPr>
              <w:t>5.9 %</w:t>
            </w:r>
          </w:p>
        </w:tc>
      </w:tr>
      <w:tr>
        <w:trPr>
          <w:trHeight w:val="251"/>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Plus:</w:t>
            </w: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5"/>
        </w:trPr>
        <w:tc>
          <w:tcPr>
            <w:tcW w:w="6820" w:type="dxa"/>
            <w:vAlign w:val="bottom"/>
          </w:tcPr>
          <w:p>
            <w:pPr>
              <w:ind w:left="14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tcPr>
          <w:p>
            <w:pPr>
              <w:spacing w:after="0"/>
              <w:rPr>
                <w:sz w:val="20"/>
                <w:szCs w:val="20"/>
                <w:color w:val="auto"/>
              </w:rPr>
            </w:pPr>
          </w:p>
        </w:tc>
        <w:tc>
          <w:tcPr>
            <w:tcW w:w="1860" w:type="dxa"/>
            <w:vAlign w:val="bottom"/>
          </w:tcPr>
          <w:p>
            <w:pPr>
              <w:jc w:val="right"/>
              <w:ind w:right="139"/>
              <w:spacing w:after="0"/>
              <w:rPr>
                <w:sz w:val="20"/>
                <w:szCs w:val="20"/>
                <w:color w:val="auto"/>
              </w:rPr>
            </w:pPr>
            <w:r>
              <w:rPr>
                <w:rFonts w:ascii="Arial" w:cs="Arial" w:eastAsia="Arial" w:hAnsi="Arial"/>
                <w:sz w:val="16"/>
                <w:szCs w:val="16"/>
                <w:color w:val="auto"/>
              </w:rPr>
              <w:t>20,359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18,903</w:t>
            </w:r>
          </w:p>
        </w:tc>
      </w:tr>
      <w:tr>
        <w:trPr>
          <w:trHeight w:val="251"/>
        </w:trPr>
        <w:tc>
          <w:tcPr>
            <w:tcW w:w="68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Pre-opening expenses</w:t>
            </w: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2,550</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508</w:t>
            </w:r>
          </w:p>
        </w:tc>
      </w:tr>
      <w:tr>
        <w:trPr>
          <w:trHeight w:val="235"/>
        </w:trPr>
        <w:tc>
          <w:tcPr>
            <w:tcW w:w="68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860" w:type="dxa"/>
            <w:vAlign w:val="bottom"/>
          </w:tcPr>
          <w:p>
            <w:pPr>
              <w:jc w:val="right"/>
              <w:ind w:right="139"/>
              <w:spacing w:after="0"/>
              <w:rPr>
                <w:sz w:val="20"/>
                <w:szCs w:val="20"/>
                <w:color w:val="auto"/>
              </w:rPr>
            </w:pPr>
            <w:r>
              <w:rPr>
                <w:rFonts w:ascii="Arial" w:cs="Arial" w:eastAsia="Arial" w:hAnsi="Arial"/>
                <w:sz w:val="16"/>
                <w:szCs w:val="16"/>
                <w:color w:val="auto"/>
              </w:rPr>
              <w:t>7,936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7,040</w:t>
            </w:r>
          </w:p>
        </w:tc>
      </w:tr>
      <w:tr>
        <w:trPr>
          <w:trHeight w:val="251"/>
        </w:trPr>
        <w:tc>
          <w:tcPr>
            <w:tcW w:w="68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Net income attributable to equity method investment</w:t>
            </w: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(164)</w:t>
            </w:r>
          </w:p>
        </w:tc>
      </w:tr>
      <w:tr>
        <w:trPr>
          <w:trHeight w:val="237"/>
        </w:trPr>
        <w:tc>
          <w:tcPr>
            <w:tcW w:w="68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r>
      <w:tr>
        <w:trPr>
          <w:trHeight w:val="237"/>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w:t>
            </w: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34,844</w:t>
            </w:r>
          </w:p>
        </w:tc>
        <w:tc>
          <w:tcPr>
            <w:tcW w:w="100" w:type="dxa"/>
            <w:vAlign w:val="bottom"/>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36,656</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i w:val="1"/>
                <w:iCs w:val="1"/>
                <w:color w:val="auto"/>
              </w:rPr>
              <w:t>Restaurant-Level Adjusted EBITDA Margin (1)</w:t>
            </w: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19.1 %</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20.8 %</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(1) Restaurant-Level Adjusted EBITDA Margin is defined as Adjusted EBITDA divided by Revenues, net.</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Liquidity and Capital Resources</w:t>
      </w:r>
    </w:p>
    <w:p>
      <w:pPr>
        <w:spacing w:after="0" w:line="2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primary sources of liquidity are cash from operations, cash and cash equivalents on hand, and availability under our 2025 Revolver Facility. As of March 29, 2026, we maintained a cash and cash equivalents and restricted cash balance of $24.0 million and had $41.6 million of availability under our 2025 Revolver Facility, after giving effect to $4.4 million in outstanding letters of credit.</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 Additionally, we continue to invest in technology, including upgrades to our IT infrastructure, to improve operational efficiency and the guest experience.</w:t>
      </w:r>
    </w:p>
    <w:p>
      <w:pPr>
        <w:spacing w:after="0" w:line="210"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Based upon current levels of operations and anticipated growth, we expect that cash flows from operations will be sufficient to meet our needs for at least the next twelve months, and the foreseeable future.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IPO, we entered into a Tax Receivable Agreement ("TRA") with certain of our pre-IPO LLC Members, pursuant to which we will generally be required to pay 85% of the amount of cash savings, if any, in U.S. federal, state, and local income tax that we actually realize or are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adjustments to the tax basis of the tangible and intangible assets, of Portillo’s OpCo and its subsidiaries, as a result of (x) sales or exchanges of interests in Portillo’s OpCo (including the repayment of the redeemable preferred units) in connection with the IPO and (y) future redemptions or exchanges of LLC Units by pre-IPO LLC Members for Class A common stock and (iv) certain other tax benefits related to entering into the TRA, including payments made under the TRA.</w:t>
      </w:r>
    </w:p>
    <w:p>
      <w:pPr>
        <w:spacing w:after="0" w:line="203"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As of March 29, 2026, we estimate that our obligation for future payments under the TRA totaled $344.2 million.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 payments that we are required to make will generally reduce the amount of overall cash flow that might have otherwise been available to us, but we expect the cash tax savings we will realize to fund the required payments.</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Assuming no material changes in relevant tax law and that we earn sufficient taxable income to realize all tax benefits that are subject to the TRA, we estimate that the tax savings associated with all tax attributes described above would aggregate to approximately $404.9 million as of March 29, 2026. Under this scenario, we would be required to pay the TRA Parties approximately 85% of such amount, or $344.2 million, primarily over the next 15 years, substantially declining in year 16 through year 47. In the quarter ended March 29, 2026 and March 30, 2025, we made TRA payments of $7.9 million relating to tax year 2024 and $7.7 million relating to tax year 2023, respectively. We expect a payment of $1.3 million relating to tax year 2025 to be paid within the next 12 months.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Summary of Cash Flows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cash flows from operating, investing and financing activities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gridSpan w:val="4"/>
          </w:tcPr>
          <w:p>
            <w:pPr>
              <w:jc w:val="right"/>
              <w:ind w:right="1399"/>
              <w:spacing w:after="0"/>
              <w:rPr>
                <w:sz w:val="20"/>
                <w:szCs w:val="20"/>
                <w:color w:val="auto"/>
              </w:rPr>
            </w:pPr>
            <w:r>
              <w:rPr>
                <w:rFonts w:ascii="Arial" w:cs="Arial" w:eastAsia="Arial" w:hAnsi="Arial"/>
                <w:sz w:val="16"/>
                <w:szCs w:val="16"/>
                <w:b w:val="1"/>
                <w:bCs w:val="1"/>
                <w:color w:val="auto"/>
              </w:rPr>
              <w:t>Quarter Ended</w:t>
            </w:r>
          </w:p>
        </w:tc>
      </w:tr>
      <w:tr>
        <w:trPr>
          <w:trHeight w:val="247"/>
        </w:trPr>
        <w:tc>
          <w:tcPr>
            <w:tcW w:w="7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29, 2026</w:t>
            </w:r>
          </w:p>
        </w:tc>
        <w:tc>
          <w:tcPr>
            <w:tcW w:w="260" w:type="dxa"/>
            <w:vAlign w:val="bottom"/>
          </w:tcPr>
          <w:p>
            <w:pPr>
              <w:spacing w:after="0"/>
              <w:rPr>
                <w:sz w:val="21"/>
                <w:szCs w:val="21"/>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30, 2025</w:t>
            </w:r>
          </w:p>
        </w:tc>
      </w:tr>
      <w:tr>
        <w:trPr>
          <w:trHeight w:val="240"/>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17,554</w:t>
            </w:r>
          </w:p>
        </w:tc>
        <w:tc>
          <w:tcPr>
            <w:tcW w:w="100" w:type="dxa"/>
            <w:vAlign w:val="bottom"/>
            <w:tcBorders>
              <w:top w:val="single" w:sz="8" w:color="DBDBDB"/>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9,450</w:t>
            </w:r>
          </w:p>
        </w:tc>
      </w:tr>
      <w:tr>
        <w:trPr>
          <w:trHeight w:val="235"/>
        </w:trPr>
        <w:tc>
          <w:tcPr>
            <w:tcW w:w="71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(18,305)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(19,040)</w:t>
            </w:r>
          </w:p>
        </w:tc>
      </w:tr>
      <w:tr>
        <w:trPr>
          <w:trHeight w:val="244"/>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4,781</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(350)</w:t>
            </w:r>
          </w:p>
        </w:tc>
      </w:tr>
      <w:tr>
        <w:trPr>
          <w:trHeight w:val="235"/>
        </w:trPr>
        <w:tc>
          <w:tcPr>
            <w:tcW w:w="71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(9,940)</w:t>
            </w:r>
          </w:p>
        </w:tc>
      </w:tr>
      <w:tr>
        <w:trPr>
          <w:trHeight w:val="244"/>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28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19,963</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22,876</w:t>
            </w:r>
          </w:p>
        </w:tc>
      </w:tr>
      <w:tr>
        <w:trPr>
          <w:trHeight w:val="243"/>
        </w:trPr>
        <w:tc>
          <w:tcPr>
            <w:tcW w:w="714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12,936</w:t>
            </w:r>
          </w:p>
        </w:tc>
      </w:tr>
      <w:tr>
        <w:trPr>
          <w:trHeight w:val="21"/>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Operating Activities</w:t>
      </w:r>
    </w:p>
    <w:p>
      <w:pPr>
        <w:spacing w:after="0" w:line="2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Net cash provided by operating activities for the quarter ended March 29, 2026 was $17.6 million compared to net cash provided by operating activities of $9.5 million for the quarter ended March 30, 2025, an increase of $ 8.1 million or 85.8%. This increase was primarily driven by the change in operating assets and liabilities of $11.7 million and the change in non-cash items of $0.9 million, partially offset by a net loss of $0.5 million in the quarter ended March 29, 2026 compared to net income of $4.0 million in the quarter ended March 30, 2025.</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$11.7 million change in our operating assets and liabilities balances was primarily driven by operating assets and liabilities being a source of net cash of $ 7.6 million in the quarter ended March 29, 2026, compared to a use of net cash of $4.2 million in quarter ended March 30, 2025 driven by the change in accounts payable, accrued expenses and other liabilities, and deferred lease incentives in the quarter ended March 29, 2026. The $0.9 million change from the quarter ended March 29, 2026 in non-cash charges is primarily driven by higher equity-based compensation expense and depreciation and amortization expense, partially offset by a decrease in deferred income tax expense. The change in net (loss) income for the quarter ended March 29, 2026 was primarily due to the factors driving the aforementioned change in revenues and expenses as described in the condensed consolidated results of operations in the quarter ended March 29, 2026 compared to the quarter ended March 30, 2025.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Investing Activities</w:t>
      </w:r>
    </w:p>
    <w:p>
      <w:pPr>
        <w:spacing w:after="0" w:line="24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Net cash used in investing activities was $18.3 million for the quarter ended March 29, 2026 compared to $19.0 million for the quarter ended March 30, 2025, a decrease of $0.7 million or 3.9%. This decrease was primarily due to the number, format and timing of builds in process.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Financing Activities</w:t>
      </w:r>
    </w:p>
    <w:p>
      <w:pPr>
        <w:spacing w:after="0" w:line="26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cash provided by financing activities was $4.8 million for the quarter ended March 29, 2026 compared to net cash used in financing activities of $0.4 million for the quarter ended March 30, 2025, an increase of $5.1 million or 1466.0%. This increase is primarily due to increased short-term borrowings under the 2025 Credit Agreement, as well as lower distributions to noncontrolling interest holders and the absence of deferred financing costs, partially offset by higher payments under the Tax Receivable Agreement liability and lower proceeds from activity under equity-based compensation plans.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2025 Revolver Facility and Liens</w:t>
      </w:r>
    </w:p>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27, 2025, PHD Intermediate LLC, Portillo’s Holdings LLC, the other Guarantors party thereto, the Lenders from time to time party thereto and Fifth Third Bank, National Association, as Administrative Agent, the L/C Issuer and the Swing Line Lender entered into an amendment (the “Amendment”) to the 2023 Credit Agreement (as amended by the Amendment and as may be amended, restated, supplemented or otherwise modified from time to time thereafter, the “2025 Credit Agreement”).</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Amendment provides for, among other things, (i) a $250 million term loan A facility (the “2025 Term Loan Facility”) and (ii) revolving credit commitments in an initial aggregate principal amount of $150 million (the “2025 Revolver Facility” and, together with the Term Loan Facility, the “2025 Facilities”), the proceeds of which will be used to refinance indebtedness under the 2023 Credit Agreement, for general corporate purposes and working capital needs and for other activities permitted under the 2025 Credit Agreement. The loans under each of the 2025 Facilities mature on January 27, 2030.</w:t>
      </w:r>
    </w:p>
    <w:p>
      <w:pPr>
        <w:spacing w:after="0" w:line="21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of March 29, 2026, we had $104.0 million of borrowings under the 2025 Revolver Facility, and letters of credit issued under the 2025 Revolver Facility totaled $4.4 million. As a result, as of March 29, 2026, the Company had $41.6 million available under the 2025 Revolver Facility.</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2025 Credit Agreement contains customary representations and warranties, events of default, reporting and other affirmative covenants and negative covenants, including limitations on indebtedness, liens, investments, negative pledges, dividends, junior financings and other fundamental changes. As of March 29, 2026, the Company was in compliance with financial covenants in the 2025 Credit Agreement.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Material Cash Requirements</w:t>
      </w:r>
    </w:p>
    <w:p>
      <w:pPr>
        <w:spacing w:after="0" w:line="24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There have been no material changes to the material cash requirements as disclosed in our Annual Report on Form 10-K for the fiscal year ended December 28, 2025, other than those payments made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Debt for further information on or about our obligations and the timing of expected payments.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Critical Accounting Estimates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discussion and analysis of financial condition and results of operations is based upon the Company's condensed consolidated financial statements, which have been prepared in accordance with GAAP. The preparation of these financial statements requires the Company to make estimates, judgments, and assumptions that can have a meaningful effect on the reporting of condensed consolidated financial statements. There have been no significant changes to our critical accounting estimates or significant accounting policies as disclosed in our Annual Report on Form 10-K for the fiscal year ended December 28, 2025.</w:t>
      </w:r>
    </w:p>
    <w:p>
      <w:pPr>
        <w:spacing w:after="0" w:line="206"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Refer to Note 2. Summary Of Significant Accounting Policies for the Company's assessment of all other recently issued accounting pronouncements.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3. Quantitative and Qualitative Disclosures About Market Risk.</w:t>
      </w:r>
    </w:p>
    <w:p>
      <w:pPr>
        <w:spacing w:after="0" w:line="24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There have been no material changes to our exposure to market risks as described in Part II, Item 7A of our Annual Report on Form 10-K for the fiscal year ended December 28, 2025.</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2"/>
          <w:szCs w:val="22"/>
          <w:b w:val="1"/>
          <w:bCs w:val="1"/>
          <w:color w:val="414042"/>
        </w:rPr>
        <w:t>Item 4. Controls and Procedures.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EVALUATION OF DISCLOSURE CONTROLS AND PROCEDURES</w:t>
      </w:r>
    </w:p>
    <w:p>
      <w:pPr>
        <w:spacing w:after="0" w:line="2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CHANGES IN INTERNAL CONTROL OVER FINANCIAL REPORTING</w:t>
      </w:r>
    </w:p>
    <w:p>
      <w:pPr>
        <w:spacing w:after="0" w:line="24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29, 2026 identified in connection with the evaluation required by Rules 13a-15(d) and 15d-15(d) of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21590</wp:posOffset>
            </wp:positionV>
            <wp:extent cx="5966460" cy="325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1. Legal Proceedings.</w:t>
      </w:r>
    </w:p>
    <w:p>
      <w:pPr>
        <w:spacing w:after="0" w:line="24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Information regarding certain legal proceedings to which the Company is a party is provided in Note 13. Contingencies in the notes to the unaudited condensed consolidated financial statements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1A. Risk Factors.</w:t>
      </w:r>
    </w:p>
    <w:p>
      <w:pPr>
        <w:spacing w:after="0" w:line="22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There have been no material changes to the risk factors disclosed in the Company's Annual Report on Form 10-K for the fiscal year ended December 28, 2025.</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2. Unregistered Sales of Equity Securities and Use of Proceeds.</w:t>
      </w:r>
    </w:p>
    <w:p>
      <w:pPr>
        <w:spacing w:after="0" w:line="243"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Under the Second Amended and Restated LLC Agreement of Portillo’s OpCo dated as of October 20, 2021 (the “OpCo LLCA”), the holders of LLC Units (other than the Company) may from time to time require Portillo’s OpCo to redeem all or a portion of their LLC Units for newly-issued shares of Class A common stock on a one-for-one basis in accordance with the terms of the OpCo LLCA.</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4. Mine Safety Disclosures.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5. Other Information.</w:t>
      </w:r>
    </w:p>
    <w:p>
      <w:pPr>
        <w:spacing w:after="0" w:line="22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During the quarter ended March 29, 2026, no director or officer of the Company adopted, amended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6. Exhibits.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Filed</w:t>
            </w:r>
          </w:p>
        </w:tc>
      </w:tr>
      <w:tr>
        <w:trPr>
          <w:trHeight w:val="255"/>
        </w:trPr>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Number</w:t>
            </w:r>
          </w:p>
        </w:tc>
        <w:tc>
          <w:tcPr>
            <w:tcW w:w="360" w:type="dxa"/>
            <w:vAlign w:val="bottom"/>
            <w:tcBorders>
              <w:bottom w:val="single" w:sz="8" w:color="auto"/>
            </w:tcBorders>
          </w:tcPr>
          <w:p>
            <w:pPr>
              <w:spacing w:after="0"/>
              <w:rPr>
                <w:sz w:val="22"/>
                <w:szCs w:val="22"/>
                <w:color w:val="auto"/>
              </w:rPr>
            </w:pPr>
          </w:p>
        </w:tc>
        <w:tc>
          <w:tcPr>
            <w:tcW w:w="9040" w:type="dxa"/>
            <w:vAlign w:val="bottom"/>
            <w:tcBorders>
              <w:bottom w:val="single" w:sz="8" w:color="auto"/>
            </w:tcBorders>
            <w:gridSpan w:val="13"/>
          </w:tcPr>
          <w:p>
            <w:pPr>
              <w:ind w:left="4000"/>
              <w:spacing w:after="0"/>
              <w:rPr>
                <w:sz w:val="20"/>
                <w:szCs w:val="20"/>
                <w:color w:val="auto"/>
              </w:rPr>
            </w:pPr>
            <w:r>
              <w:rPr>
                <w:rFonts w:ascii="Arial" w:cs="Arial" w:eastAsia="Arial" w:hAnsi="Arial"/>
                <w:sz w:val="18"/>
                <w:szCs w:val="18"/>
                <w:b w:val="1"/>
                <w:bCs w:val="1"/>
                <w:color w:val="auto"/>
              </w:rPr>
              <w:t>Description</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202"/>
        </w:trPr>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line="202" w:lineRule="exact"/>
              <w:rPr>
                <w:rFonts w:ascii="Arial" w:cs="Arial" w:eastAsia="Arial" w:hAnsi="Arial"/>
                <w:sz w:val="18"/>
                <w:szCs w:val="18"/>
                <w:color w:val="auto"/>
                <w:w w:val="95"/>
              </w:rPr>
            </w:pPr>
            <w:hyperlink r:id="rId83">
              <w:r>
                <w:rPr>
                  <w:rFonts w:ascii="Arial" w:cs="Arial" w:eastAsia="Arial" w:hAnsi="Arial"/>
                  <w:sz w:val="18"/>
                  <w:szCs w:val="18"/>
                  <w:color w:val="auto"/>
                  <w:w w:val="95"/>
                </w:rPr>
                <w:t>3.</w:t>
              </w:r>
              <w:r>
                <w:rPr>
                  <w:rFonts w:ascii="Arial" w:cs="Arial" w:eastAsia="Arial" w:hAnsi="Arial"/>
                  <w:sz w:val="18"/>
                  <w:szCs w:val="18"/>
                  <w:u w:val="single" w:color="auto"/>
                  <w:color w:val="auto"/>
                  <w:w w:val="95"/>
                </w:rPr>
                <w:t>1</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60" w:type="dxa"/>
            <w:vAlign w:val="bottom"/>
            <w:tcBorders>
              <w:bottom w:val="single" w:sz="8" w:color="auto"/>
            </w:tcBorders>
            <w:gridSpan w:val="9"/>
          </w:tcPr>
          <w:p>
            <w:pPr>
              <w:spacing w:after="0" w:line="202" w:lineRule="exact"/>
              <w:rPr>
                <w:rFonts w:ascii="Arial" w:cs="Arial" w:eastAsia="Arial" w:hAnsi="Arial"/>
                <w:sz w:val="18"/>
                <w:szCs w:val="18"/>
                <w:color w:val="auto"/>
                <w:w w:val="99"/>
              </w:rPr>
            </w:pPr>
            <w:hyperlink r:id="rId83">
              <w:r>
                <w:rPr>
                  <w:rFonts w:ascii="Arial" w:cs="Arial" w:eastAsia="Arial" w:hAnsi="Arial"/>
                  <w:sz w:val="18"/>
                  <w:szCs w:val="18"/>
                  <w:color w:val="auto"/>
                  <w:w w:val="99"/>
                </w:rPr>
                <w:t>Amended and Restated Certificate of Incorporation of Portillo's Inc. (incorporated by reference to Exhibit 3.1 of</w:t>
              </w:r>
            </w:hyperlink>
          </w:p>
        </w:tc>
        <w:tc>
          <w:tcPr>
            <w:tcW w:w="2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60" w:type="dxa"/>
            <w:vAlign w:val="bottom"/>
            <w:tcBorders>
              <w:bottom w:val="single" w:sz="8" w:color="auto"/>
            </w:tcBorders>
            <w:gridSpan w:val="5"/>
          </w:tcPr>
          <w:p>
            <w:pPr>
              <w:spacing w:after="0" w:line="196" w:lineRule="exact"/>
              <w:rPr>
                <w:rFonts w:ascii="Arial" w:cs="Arial" w:eastAsia="Arial" w:hAnsi="Arial"/>
                <w:sz w:val="18"/>
                <w:szCs w:val="18"/>
                <w:color w:val="auto"/>
                <w:w w:val="99"/>
              </w:rPr>
            </w:pPr>
            <w:hyperlink r:id="rId83">
              <w:r>
                <w:rPr>
                  <w:rFonts w:ascii="Arial" w:cs="Arial" w:eastAsia="Arial" w:hAnsi="Arial"/>
                  <w:sz w:val="18"/>
                  <w:szCs w:val="18"/>
                  <w:color w:val="auto"/>
                  <w:w w:val="99"/>
                </w:rPr>
                <w:t>the Company's Quarterly Report on Form 10-Q filed on November 18, 2021)</w:t>
              </w:r>
            </w:hyperlink>
          </w:p>
        </w:tc>
        <w:tc>
          <w:tcPr>
            <w:tcW w:w="298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260" w:type="dxa"/>
            <w:vAlign w:val="bottom"/>
          </w:tcPr>
          <w:p>
            <w:pPr>
              <w:spacing w:after="0"/>
              <w:rPr>
                <w:rFonts w:ascii="Arial" w:cs="Arial" w:eastAsia="Arial" w:hAnsi="Arial"/>
                <w:sz w:val="18"/>
                <w:szCs w:val="18"/>
                <w:color w:val="auto"/>
                <w:w w:val="95"/>
              </w:rPr>
            </w:pPr>
            <w:hyperlink r:id="rId84">
              <w:r>
                <w:rPr>
                  <w:rFonts w:ascii="Arial" w:cs="Arial" w:eastAsia="Arial" w:hAnsi="Arial"/>
                  <w:sz w:val="18"/>
                  <w:szCs w:val="18"/>
                  <w:color w:val="auto"/>
                  <w:w w:val="95"/>
                </w:rPr>
                <w:t>3.</w:t>
              </w:r>
              <w:r>
                <w:rPr>
                  <w:rFonts w:ascii="Arial" w:cs="Arial" w:eastAsia="Arial" w:hAnsi="Arial"/>
                  <w:sz w:val="18"/>
                  <w:szCs w:val="18"/>
                  <w:u w:val="single" w:color="auto"/>
                  <w:color w:val="auto"/>
                  <w:w w:val="95"/>
                </w:rPr>
                <w:t>2</w:t>
              </w:r>
            </w:hyperlink>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40" w:type="dxa"/>
            <w:vAlign w:val="bottom"/>
            <w:gridSpan w:val="13"/>
          </w:tcPr>
          <w:p>
            <w:pPr>
              <w:spacing w:after="0"/>
              <w:rPr>
                <w:rFonts w:ascii="Arial" w:cs="Arial" w:eastAsia="Arial" w:hAnsi="Arial"/>
                <w:sz w:val="18"/>
                <w:szCs w:val="18"/>
                <w:color w:val="auto"/>
              </w:rPr>
            </w:pPr>
            <w:hyperlink r:id="rId84">
              <w:r>
                <w:rPr>
                  <w:rFonts w:ascii="Arial" w:cs="Arial" w:eastAsia="Arial" w:hAnsi="Arial"/>
                  <w:sz w:val="18"/>
                  <w:szCs w:val="18"/>
                  <w:color w:val="auto"/>
                </w:rPr>
                <w:t>Amended and Restated Bylaws of Portillo’s Inc. (incorporated by reference to Exhibit 3.2 of the Company's</w:t>
              </w:r>
            </w:hyperlink>
          </w:p>
        </w:tc>
        <w:tc>
          <w:tcPr>
            <w:tcW w:w="98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20" w:type="dxa"/>
            <w:vAlign w:val="bottom"/>
            <w:tcBorders>
              <w:top w:val="single" w:sz="8" w:color="auto"/>
              <w:bottom w:val="single" w:sz="8" w:color="auto"/>
            </w:tcBorders>
            <w:gridSpan w:val="3"/>
          </w:tcPr>
          <w:p>
            <w:pPr>
              <w:spacing w:after="0" w:line="196" w:lineRule="exact"/>
              <w:rPr>
                <w:rFonts w:ascii="Arial" w:cs="Arial" w:eastAsia="Arial" w:hAnsi="Arial"/>
                <w:sz w:val="18"/>
                <w:szCs w:val="18"/>
                <w:color w:val="auto"/>
                <w:w w:val="99"/>
              </w:rPr>
            </w:pPr>
            <w:hyperlink r:id="rId84">
              <w:r>
                <w:rPr>
                  <w:rFonts w:ascii="Arial" w:cs="Arial" w:eastAsia="Arial" w:hAnsi="Arial"/>
                  <w:sz w:val="18"/>
                  <w:szCs w:val="18"/>
                  <w:color w:val="auto"/>
                  <w:w w:val="99"/>
                </w:rPr>
                <w:t>Quarterly Report on Form 10-Q filed on November 18, 2021)</w:t>
              </w:r>
            </w:hyperlink>
          </w:p>
        </w:tc>
        <w:tc>
          <w:tcPr>
            <w:tcW w:w="3640" w:type="dxa"/>
            <w:vAlign w:val="bottom"/>
            <w:tcBorders>
              <w:top w:val="single" w:sz="8" w:color="auto"/>
            </w:tcBorders>
            <w:gridSpan w:val="4"/>
          </w:tcPr>
          <w:p>
            <w:pPr>
              <w:spacing w:after="0"/>
              <w:rPr>
                <w:sz w:val="17"/>
                <w:szCs w:val="17"/>
                <w:color w:val="auto"/>
              </w:rPr>
            </w:pPr>
          </w:p>
        </w:tc>
        <w:tc>
          <w:tcPr>
            <w:tcW w:w="58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60" w:type="dxa"/>
            <w:vAlign w:val="bottom"/>
            <w:gridSpan w:val="2"/>
          </w:tcPr>
          <w:p>
            <w:pPr>
              <w:spacing w:after="0"/>
              <w:rPr>
                <w:rFonts w:ascii="Arial" w:cs="Arial" w:eastAsia="Arial" w:hAnsi="Arial"/>
                <w:sz w:val="18"/>
                <w:szCs w:val="18"/>
                <w:color w:val="auto"/>
                <w:w w:val="96"/>
              </w:rPr>
            </w:pPr>
            <w:hyperlink r:id="rId85">
              <w:r>
                <w:rPr>
                  <w:rFonts w:ascii="Arial" w:cs="Arial" w:eastAsia="Arial" w:hAnsi="Arial"/>
                  <w:sz w:val="18"/>
                  <w:szCs w:val="18"/>
                  <w:color w:val="auto"/>
                  <w:w w:val="96"/>
                </w:rPr>
                <w:t>10.</w:t>
              </w:r>
              <w:r>
                <w:rPr>
                  <w:rFonts w:ascii="Arial" w:cs="Arial" w:eastAsia="Arial" w:hAnsi="Arial"/>
                  <w:sz w:val="18"/>
                  <w:szCs w:val="18"/>
                  <w:u w:val="single" w:color="auto"/>
                  <w:color w:val="auto"/>
                  <w:w w:val="96"/>
                </w:rPr>
                <w:t>1</w:t>
              </w:r>
            </w:hyperlink>
          </w:p>
        </w:tc>
        <w:tc>
          <w:tcPr>
            <w:tcW w:w="480" w:type="dxa"/>
            <w:vAlign w:val="bottom"/>
          </w:tcPr>
          <w:p>
            <w:pPr>
              <w:spacing w:after="0"/>
              <w:rPr>
                <w:sz w:val="21"/>
                <w:szCs w:val="21"/>
                <w:color w:val="auto"/>
              </w:rPr>
            </w:pPr>
          </w:p>
        </w:tc>
        <w:tc>
          <w:tcPr>
            <w:tcW w:w="9400" w:type="dxa"/>
            <w:vAlign w:val="bottom"/>
            <w:gridSpan w:val="14"/>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85">
              <w:r>
                <w:rPr>
                  <w:rFonts w:ascii="Arial" w:cs="Arial" w:eastAsia="Arial" w:hAnsi="Arial"/>
                  <w:sz w:val="18"/>
                  <w:szCs w:val="18"/>
                  <w:color w:val="auto"/>
                </w:rPr>
                <w:t>Offer Letter From Portillo's Hot Dogs, LLC to Brett Patterson, as of February 2, 2026 (incorporated by reference</w:t>
              </w:r>
            </w:hyperlink>
          </w:p>
        </w:tc>
        <w:tc>
          <w:tcPr>
            <w:tcW w:w="98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40" w:type="dxa"/>
            <w:vAlign w:val="bottom"/>
            <w:tcBorders>
              <w:top w:val="single" w:sz="8" w:color="auto"/>
            </w:tcBorders>
            <w:gridSpan w:val="11"/>
          </w:tcPr>
          <w:p>
            <w:pPr>
              <w:spacing w:after="0" w:line="196" w:lineRule="exact"/>
              <w:rPr>
                <w:rFonts w:ascii="Arial" w:cs="Arial" w:eastAsia="Arial" w:hAnsi="Arial"/>
                <w:sz w:val="18"/>
                <w:szCs w:val="18"/>
                <w:color w:val="auto"/>
              </w:rPr>
            </w:pPr>
            <w:hyperlink r:id="rId85">
              <w:r>
                <w:rPr>
                  <w:rFonts w:ascii="Arial" w:cs="Arial" w:eastAsia="Arial" w:hAnsi="Arial"/>
                  <w:sz w:val="18"/>
                  <w:szCs w:val="18"/>
                  <w:color w:val="auto"/>
                </w:rPr>
                <w:t>to the Company's Form 10-K filed on February 24, 2026).</w:t>
              </w:r>
            </w:hyperlink>
          </w:p>
        </w:tc>
        <w:tc>
          <w:tcPr>
            <w:tcW w:w="2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3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10.</w:t>
            </w:r>
            <w:r>
              <w:rPr>
                <w:rFonts w:ascii="Arial" w:cs="Arial" w:eastAsia="Arial" w:hAnsi="Arial"/>
                <w:sz w:val="18"/>
                <w:szCs w:val="18"/>
                <w:u w:val="single" w:color="auto"/>
                <w:color w:val="auto"/>
                <w:w w:val="96"/>
              </w:rPr>
              <w:t>2</w:t>
            </w:r>
          </w:p>
        </w:tc>
        <w:tc>
          <w:tcPr>
            <w:tcW w:w="480" w:type="dxa"/>
            <w:vAlign w:val="bottom"/>
          </w:tcPr>
          <w:p>
            <w:pPr>
              <w:spacing w:after="0"/>
              <w:rPr>
                <w:sz w:val="21"/>
                <w:szCs w:val="21"/>
                <w:color w:val="auto"/>
              </w:rPr>
            </w:pPr>
          </w:p>
        </w:tc>
        <w:tc>
          <w:tcPr>
            <w:tcW w:w="9400" w:type="dxa"/>
            <w:vAlign w:val="bottom"/>
            <w:gridSpan w:val="14"/>
          </w:tcPr>
          <w:p>
            <w:pPr>
              <w:ind w:left="80"/>
              <w:spacing w:after="0"/>
              <w:rPr>
                <w:sz w:val="20"/>
                <w:szCs w:val="20"/>
                <w:color w:val="auto"/>
              </w:rPr>
            </w:pPr>
            <w:r>
              <w:rPr>
                <w:rFonts w:ascii="Arial" w:cs="Arial" w:eastAsia="Arial" w:hAnsi="Arial"/>
                <w:sz w:val="18"/>
                <w:szCs w:val="18"/>
                <w:color w:val="auto"/>
              </w:rPr>
              <w:t>†  Offer Letter From Portillo's Hot Dogs, LLC to Tony Darden, as of November 3, 2024</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0"/>
        </w:trPr>
        <w:tc>
          <w:tcPr>
            <w:tcW w:w="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0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31.</w:t>
            </w:r>
            <w:r>
              <w:rPr>
                <w:rFonts w:ascii="Arial" w:cs="Arial" w:eastAsia="Arial" w:hAnsi="Arial"/>
                <w:sz w:val="18"/>
                <w:szCs w:val="18"/>
                <w:u w:val="single" w:color="auto"/>
                <w:color w:val="auto"/>
                <w:w w:val="96"/>
              </w:rPr>
              <w:t>1</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9"/>
              </w:rPr>
              <w:t>Certification of the Principal Executive Officer pursuant to Securities Exchange Act Rules 13a-14(a), as adopted</w:t>
            </w:r>
          </w:p>
        </w:tc>
        <w:tc>
          <w:tcPr>
            <w:tcW w:w="16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9"/>
              </w:rPr>
              <w:t>pursuant to Section 302 of the Sarbanes-Oxley Act of 2002</w:t>
            </w:r>
          </w:p>
        </w:tc>
        <w:tc>
          <w:tcPr>
            <w:tcW w:w="434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31.</w:t>
            </w:r>
            <w:r>
              <w:rPr>
                <w:rFonts w:ascii="Arial" w:cs="Arial" w:eastAsia="Arial" w:hAnsi="Arial"/>
                <w:sz w:val="18"/>
                <w:szCs w:val="18"/>
                <w:u w:val="single" w:color="auto"/>
                <w:color w:val="auto"/>
                <w:w w:val="96"/>
              </w:rPr>
              <w:t>2</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9"/>
              </w:rPr>
              <w:t>Certification of the Principal Financial Officer pursuant to Securities Exchange Act Rules 13a-14(a), as adopted</w:t>
            </w:r>
          </w:p>
        </w:tc>
        <w:tc>
          <w:tcPr>
            <w:tcW w:w="220" w:type="dxa"/>
            <w:vAlign w:val="bottom"/>
            <w:gridSpan w:val="3"/>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9"/>
              </w:rPr>
              <w:t>pursuant to Section 302 of the Sarbanes-Oxley Act of 2002</w:t>
            </w:r>
          </w:p>
        </w:tc>
        <w:tc>
          <w:tcPr>
            <w:tcW w:w="434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32.</w:t>
            </w:r>
            <w:r>
              <w:rPr>
                <w:rFonts w:ascii="Arial" w:cs="Arial" w:eastAsia="Arial" w:hAnsi="Arial"/>
                <w:sz w:val="18"/>
                <w:szCs w:val="18"/>
                <w:u w:val="single" w:color="auto"/>
                <w:color w:val="auto"/>
                <w:w w:val="96"/>
              </w:rPr>
              <w:t>1</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40" w:type="dxa"/>
            <w:vAlign w:val="bottom"/>
            <w:gridSpan w:val="13"/>
          </w:tcPr>
          <w:p>
            <w:pPr>
              <w:spacing w:after="0"/>
              <w:rPr>
                <w:sz w:val="20"/>
                <w:szCs w:val="20"/>
                <w:color w:val="auto"/>
              </w:rPr>
            </w:pPr>
            <w:r>
              <w:rPr>
                <w:rFonts w:ascii="Arial" w:cs="Arial" w:eastAsia="Arial" w:hAnsi="Arial"/>
                <w:sz w:val="18"/>
                <w:szCs w:val="18"/>
                <w:color w:val="auto"/>
              </w:rPr>
              <w:t>Certifications of the Chief Executive Officer and Chief Financial Officer pursuant to 18 U.S.C. Section 1350, as</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9"/>
              </w:rPr>
              <w:t>adopted pursuant to Section 906 of the Sarbanes-Oxley Act of 2002</w:t>
            </w:r>
          </w:p>
        </w:tc>
        <w:tc>
          <w:tcPr>
            <w:tcW w:w="3340" w:type="dxa"/>
            <w:vAlign w:val="bottom"/>
            <w:tcBorders>
              <w:top w:val="single" w:sz="8" w:color="auto"/>
            </w:tcBorders>
            <w:gridSpan w:val="4"/>
          </w:tcPr>
          <w:p>
            <w:pPr>
              <w:spacing w:after="0"/>
              <w:rPr>
                <w:sz w:val="17"/>
                <w:szCs w:val="17"/>
                <w:color w:val="auto"/>
              </w:rPr>
            </w:pPr>
          </w:p>
        </w:tc>
        <w:tc>
          <w:tcPr>
            <w:tcW w:w="30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r>
      <w:tr>
        <w:trPr>
          <w:trHeight w:val="272"/>
        </w:trPr>
        <w:tc>
          <w:tcPr>
            <w:tcW w:w="20" w:type="dxa"/>
            <w:vAlign w:val="bottom"/>
          </w:tcPr>
          <w:p>
            <w:pPr>
              <w:spacing w:after="0"/>
              <w:rPr>
                <w:sz w:val="23"/>
                <w:szCs w:val="23"/>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3"/>
                <w:szCs w:val="23"/>
                <w:color w:val="auto"/>
              </w:rPr>
            </w:pPr>
          </w:p>
        </w:tc>
        <w:tc>
          <w:tcPr>
            <w:tcW w:w="9040" w:type="dxa"/>
            <w:vAlign w:val="bottom"/>
            <w:gridSpan w:val="13"/>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40" w:type="dxa"/>
            <w:vAlign w:val="bottom"/>
            <w:gridSpan w:val="13"/>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9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3"/>
                <w:szCs w:val="23"/>
                <w:color w:val="auto"/>
              </w:rPr>
            </w:pPr>
          </w:p>
        </w:tc>
        <w:tc>
          <w:tcPr>
            <w:tcW w:w="904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70"/>
        </w:trPr>
        <w:tc>
          <w:tcPr>
            <w:tcW w:w="20" w:type="dxa"/>
            <w:vAlign w:val="bottom"/>
          </w:tcPr>
          <w:p>
            <w:pPr>
              <w:spacing w:after="0"/>
              <w:rPr>
                <w:sz w:val="23"/>
                <w:szCs w:val="23"/>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3"/>
                <w:szCs w:val="23"/>
                <w:color w:val="auto"/>
              </w:rPr>
            </w:pPr>
          </w:p>
        </w:tc>
        <w:tc>
          <w:tcPr>
            <w:tcW w:w="90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70"/>
        </w:trPr>
        <w:tc>
          <w:tcPr>
            <w:tcW w:w="20" w:type="dxa"/>
            <w:vAlign w:val="bottom"/>
          </w:tcPr>
          <w:p>
            <w:pPr>
              <w:spacing w:after="0"/>
              <w:rPr>
                <w:sz w:val="23"/>
                <w:szCs w:val="23"/>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3"/>
                <w:szCs w:val="23"/>
                <w:color w:val="auto"/>
              </w:rPr>
            </w:pPr>
          </w:p>
        </w:tc>
        <w:tc>
          <w:tcPr>
            <w:tcW w:w="904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70"/>
        </w:trPr>
        <w:tc>
          <w:tcPr>
            <w:tcW w:w="20" w:type="dxa"/>
            <w:vAlign w:val="bottom"/>
          </w:tcPr>
          <w:p>
            <w:pPr>
              <w:spacing w:after="0"/>
              <w:rPr>
                <w:sz w:val="23"/>
                <w:szCs w:val="23"/>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3"/>
                <w:szCs w:val="23"/>
                <w:color w:val="auto"/>
              </w:rPr>
            </w:pPr>
          </w:p>
        </w:tc>
        <w:tc>
          <w:tcPr>
            <w:tcW w:w="904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70"/>
        </w:trPr>
        <w:tc>
          <w:tcPr>
            <w:tcW w:w="20" w:type="dxa"/>
            <w:vAlign w:val="bottom"/>
          </w:tcPr>
          <w:p>
            <w:pPr>
              <w:spacing w:after="0"/>
              <w:rPr>
                <w:sz w:val="23"/>
                <w:szCs w:val="23"/>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3"/>
                <w:szCs w:val="23"/>
                <w:color w:val="auto"/>
              </w:rPr>
            </w:pPr>
          </w:p>
        </w:tc>
        <w:tc>
          <w:tcPr>
            <w:tcW w:w="90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380" w:type="dxa"/>
            <w:vAlign w:val="bottom"/>
            <w:gridSpan w:val="3"/>
          </w:tcPr>
          <w:p>
            <w:pPr>
              <w:ind w:left="2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40" w:type="dxa"/>
            <w:vAlign w:val="bottom"/>
            <w:gridSpan w:val="13"/>
          </w:tcPr>
          <w:p>
            <w:pPr>
              <w:spacing w:after="0"/>
              <w:rPr>
                <w:sz w:val="20"/>
                <w:szCs w:val="20"/>
                <w:color w:val="auto"/>
              </w:rPr>
            </w:pPr>
            <w:r>
              <w:rPr>
                <w:rFonts w:ascii="Arial" w:cs="Arial" w:eastAsia="Arial" w:hAnsi="Arial"/>
                <w:sz w:val="18"/>
                <w:szCs w:val="18"/>
                <w:color w:val="auto"/>
              </w:rPr>
              <w:t>Cover page Interactive Data File - the cover page interactive data file does not appear in the Interactive Data File</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40" w:type="dxa"/>
            <w:vAlign w:val="bottom"/>
            <w:gridSpan w:val="13"/>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980" w:type="dxa"/>
            <w:vAlign w:val="bottom"/>
          </w:tcPr>
          <w:p>
            <w:pPr>
              <w:spacing w:after="0"/>
              <w:rPr>
                <w:sz w:val="20"/>
                <w:szCs w:val="20"/>
                <w:color w:val="auto"/>
              </w:rPr>
            </w:pPr>
          </w:p>
        </w:tc>
      </w:tr>
    </w:tbl>
    <w:p>
      <w:pPr>
        <w:spacing w:after="0" w:line="101"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Filed Herewith</w:t>
      </w:r>
    </w:p>
    <w:p>
      <w:pPr>
        <w:spacing w:after="0" w:line="25"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Furnished Herewith</w:t>
      </w:r>
    </w:p>
    <w:p>
      <w:pPr>
        <w:spacing w:after="0" w:line="9"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compensatory plan or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Brett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34925</wp:posOffset>
            </wp:positionV>
            <wp:extent cx="38233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Brett Patterson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President, Chief Executive Officer and Director</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Executive Officer)</w:t>
      </w:r>
    </w:p>
    <w:p>
      <w:pPr>
        <w:spacing w:after="0" w:line="329"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34925</wp:posOffset>
            </wp:positionV>
            <wp:extent cx="38233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Michelle Hook</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 and Treasurer</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34</w:t>
      </w:r>
    </w:p>
    <w:p>
      <w:pPr>
        <w:sectPr>
          <w:pgSz w:w="11900" w:h="16838" w:orient="portrait"/>
          <w:cols w:equalWidth="0" w:num="1">
            <w:col w:w="11240"/>
          </w:cols>
          <w:pgMar w:left="320" w:top="364"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1014730</wp:posOffset>
            </wp:positionV>
            <wp:extent cx="5177790" cy="428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1777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2001 Spring Road, Suite 400, Oak Brook, I L 60523-3930 • (630) 954-3773 • www.portillos.com</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November 3, 2024</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Tony Darden,</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 xml:space="preserve">Portillo’s Hot Dogs, LLC is excited to offer you the </w:t>
      </w:r>
      <w:r>
        <w:rPr>
          <w:rFonts w:ascii="Arial" w:cs="Arial" w:eastAsia="Arial" w:hAnsi="Arial"/>
          <w:sz w:val="21"/>
          <w:szCs w:val="21"/>
          <w:b w:val="1"/>
          <w:bCs w:val="1"/>
          <w:color w:val="auto"/>
        </w:rPr>
        <w:t>Chief Operations Officer</w:t>
      </w:r>
      <w:r>
        <w:rPr>
          <w:rFonts w:ascii="Arial" w:cs="Arial" w:eastAsia="Arial" w:hAnsi="Arial"/>
          <w:sz w:val="21"/>
          <w:szCs w:val="21"/>
          <w:color w:val="auto"/>
        </w:rPr>
        <w:t xml:space="preserve"> position on our </w:t>
      </w:r>
      <w:r>
        <w:rPr>
          <w:rFonts w:ascii="Arial" w:cs="Arial" w:eastAsia="Arial" w:hAnsi="Arial"/>
          <w:sz w:val="21"/>
          <w:szCs w:val="21"/>
          <w:i w:val="1"/>
          <w:iCs w:val="1"/>
          <w:color w:val="auto"/>
        </w:rPr>
        <w:t>bun-believable</w:t>
      </w:r>
      <w:r>
        <w:rPr>
          <w:rFonts w:ascii="Arial" w:cs="Arial" w:eastAsia="Arial" w:hAnsi="Arial"/>
          <w:sz w:val="21"/>
          <w:szCs w:val="21"/>
          <w:color w:val="auto"/>
        </w:rPr>
        <w:t xml:space="preserve"> team. Your passion for our restaurant and your drive to be the best fits right into our family environment! The Heart of Portillo’s is our People. Our people define our culture and beliefs. They live our Company values of Family, Greatness, Energy and Fun every day by reminding us to be our best, have fun, exude energy, and treat each other like family. We believe you embody our core values, and we can’t wait for you to be a part of the Portillo’s family!</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Your starting date is set as </w:t>
      </w:r>
      <w:r>
        <w:rPr>
          <w:rFonts w:ascii="Arial" w:cs="Arial" w:eastAsia="Arial" w:hAnsi="Arial"/>
          <w:sz w:val="22"/>
          <w:szCs w:val="22"/>
          <w:b w:val="1"/>
          <w:bCs w:val="1"/>
          <w:color w:val="auto"/>
        </w:rPr>
        <w:t>December 9, 2024</w:t>
      </w:r>
      <w:r>
        <w:rPr>
          <w:rFonts w:ascii="Arial" w:cs="Arial" w:eastAsia="Arial" w:hAnsi="Arial"/>
          <w:sz w:val="22"/>
          <w:szCs w:val="22"/>
          <w:color w:val="auto"/>
        </w:rPr>
        <w:t xml:space="preserve">. Your base salary is </w:t>
      </w:r>
      <w:r>
        <w:rPr>
          <w:rFonts w:ascii="Arial" w:cs="Arial" w:eastAsia="Arial" w:hAnsi="Arial"/>
          <w:sz w:val="22"/>
          <w:szCs w:val="22"/>
          <w:b w:val="1"/>
          <w:bCs w:val="1"/>
          <w:color w:val="auto"/>
        </w:rPr>
        <w:t>$465,000.00 per year</w:t>
      </w:r>
      <w:r>
        <w:rPr>
          <w:rFonts w:ascii="Arial" w:cs="Arial" w:eastAsia="Arial" w:hAnsi="Arial"/>
          <w:sz w:val="22"/>
          <w:szCs w:val="22"/>
          <w:color w:val="auto"/>
        </w:rPr>
        <w:t xml:space="preserve"> and is paid on a bi-weekly basis. You will also be eligible to participate in a discretionary annual bonus program with a target of </w:t>
      </w:r>
      <w:r>
        <w:rPr>
          <w:rFonts w:ascii="Arial" w:cs="Arial" w:eastAsia="Arial" w:hAnsi="Arial"/>
          <w:sz w:val="22"/>
          <w:szCs w:val="22"/>
          <w:b w:val="1"/>
          <w:bCs w:val="1"/>
          <w:color w:val="auto"/>
        </w:rPr>
        <w:t>75% of your</w:t>
      </w:r>
      <w:r>
        <w:rPr>
          <w:rFonts w:ascii="Arial" w:cs="Arial" w:eastAsia="Arial" w:hAnsi="Arial"/>
          <w:sz w:val="22"/>
          <w:szCs w:val="22"/>
          <w:color w:val="auto"/>
        </w:rPr>
        <w:t xml:space="preserve"> </w:t>
      </w:r>
      <w:r>
        <w:rPr>
          <w:rFonts w:ascii="Arial" w:cs="Arial" w:eastAsia="Arial" w:hAnsi="Arial"/>
          <w:sz w:val="22"/>
          <w:szCs w:val="22"/>
          <w:b w:val="1"/>
          <w:bCs w:val="1"/>
          <w:color w:val="auto"/>
        </w:rPr>
        <w:t>base salary</w:t>
      </w:r>
      <w:r>
        <w:rPr>
          <w:rFonts w:ascii="Arial" w:cs="Arial" w:eastAsia="Arial" w:hAnsi="Arial"/>
          <w:sz w:val="22"/>
          <w:szCs w:val="22"/>
          <w:color w:val="auto"/>
        </w:rPr>
        <w:t>. Although you’re starting during the 2024 fiscal year, based on the timing of your start date, you are not</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for the 2024 bonus.</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Bonus payments are generally paid on or around April 1</w:t>
      </w:r>
      <w:r>
        <w:rPr>
          <w:rFonts w:ascii="Arial" w:cs="Arial" w:eastAsia="Arial" w:hAnsi="Arial"/>
          <w:sz w:val="28"/>
          <w:szCs w:val="28"/>
          <w:color w:val="auto"/>
          <w:vertAlign w:val="superscript"/>
        </w:rPr>
        <w:t>st</w:t>
      </w:r>
      <w:r>
        <w:rPr>
          <w:rFonts w:ascii="Arial" w:cs="Arial" w:eastAsia="Arial" w:hAnsi="Arial"/>
          <w:sz w:val="22"/>
          <w:szCs w:val="22"/>
          <w:color w:val="auto"/>
        </w:rPr>
        <w:t>, for performance in the prior calendar year. Direct deposit is available for paychecks, and we highly encourage all Team Members to use it.</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In your new position, you are also eligible to participate in the 2021 Equity Incentive Plan, with the details set out below, subject to final approval by the Board of Directors. Your position will be eligible for a one-time award of </w:t>
      </w:r>
      <w:r>
        <w:rPr>
          <w:rFonts w:ascii="Arial" w:cs="Arial" w:eastAsia="Arial" w:hAnsi="Arial"/>
          <w:sz w:val="22"/>
          <w:szCs w:val="22"/>
          <w:b w:val="1"/>
          <w:bCs w:val="1"/>
          <w:color w:val="auto"/>
        </w:rPr>
        <w:t xml:space="preserve">Restricted Stock Units valued at approximately $200,000 </w:t>
      </w:r>
      <w:r>
        <w:rPr>
          <w:rFonts w:ascii="Arial" w:cs="Arial" w:eastAsia="Arial" w:hAnsi="Arial"/>
          <w:sz w:val="22"/>
          <w:szCs w:val="22"/>
          <w:color w:val="auto"/>
        </w:rPr>
        <w:t>. All Restricted Stock Unit equity shares granted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based on the PTLO stock price at the end of trading day on the grant date. These RSUs will have a 2-year vesting period, with ½ tranche vesting on the first and second anniversary of the grant date. In addition, Portillo’s is granting you a one-time equity award of </w:t>
      </w:r>
      <w:r>
        <w:rPr>
          <w:rFonts w:ascii="Arial" w:cs="Arial" w:eastAsia="Arial" w:hAnsi="Arial"/>
          <w:sz w:val="22"/>
          <w:szCs w:val="22"/>
          <w:b w:val="1"/>
          <w:bCs w:val="1"/>
          <w:color w:val="auto"/>
        </w:rPr>
        <w:t>$110,000 Restricted Stock Units and $110,000 of Performance Restricted Stock</w:t>
      </w:r>
      <w:r>
        <w:rPr>
          <w:rFonts w:ascii="Arial" w:cs="Arial" w:eastAsia="Arial" w:hAnsi="Arial"/>
          <w:sz w:val="22"/>
          <w:szCs w:val="22"/>
          <w:color w:val="auto"/>
        </w:rPr>
        <w:t xml:space="preserve"> </w:t>
      </w:r>
      <w:r>
        <w:rPr>
          <w:rFonts w:ascii="Arial" w:cs="Arial" w:eastAsia="Arial" w:hAnsi="Arial"/>
          <w:sz w:val="22"/>
          <w:szCs w:val="22"/>
          <w:b w:val="1"/>
          <w:bCs w:val="1"/>
          <w:color w:val="auto"/>
        </w:rPr>
        <w:t>Units</w:t>
      </w:r>
      <w:r>
        <w:rPr>
          <w:rFonts w:ascii="Arial" w:cs="Arial" w:eastAsia="Arial" w:hAnsi="Arial"/>
          <w:sz w:val="22"/>
          <w:szCs w:val="22"/>
          <w:color w:val="auto"/>
        </w:rPr>
        <w:t>, subject to the terms of the plan.</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 xml:space="preserve">Your ongoing annual Long-Term Equity Plan target </w:t>
      </w:r>
      <w:r>
        <w:rPr>
          <w:rFonts w:ascii="Arial" w:cs="Arial" w:eastAsia="Arial" w:hAnsi="Arial"/>
          <w:sz w:val="22"/>
          <w:szCs w:val="22"/>
          <w:b w:val="1"/>
          <w:bCs w:val="1"/>
          <w:color w:val="auto"/>
        </w:rPr>
        <w:t>LTIP is $650,000</w:t>
      </w:r>
      <w:r>
        <w:rPr>
          <w:rFonts w:ascii="Arial" w:cs="Arial" w:eastAsia="Arial" w:hAnsi="Arial"/>
          <w:sz w:val="22"/>
          <w:szCs w:val="22"/>
          <w:color w:val="auto"/>
        </w:rPr>
        <w:t xml:space="preserve">, subject to terms of the plan. The LTIP target is reflective of </w:t>
      </w:r>
      <w:r>
        <w:rPr>
          <w:rFonts w:ascii="Arial" w:cs="Arial" w:eastAsia="Arial" w:hAnsi="Arial"/>
          <w:sz w:val="22"/>
          <w:szCs w:val="22"/>
          <w:b w:val="1"/>
          <w:bCs w:val="1"/>
          <w:color w:val="auto"/>
        </w:rPr>
        <w:t>50% Restricted Stock Units ($325,000) and 50% Performance Stock Units ($325,000)</w:t>
      </w:r>
      <w:r>
        <w:rPr>
          <w:rFonts w:ascii="Arial" w:cs="Arial" w:eastAsia="Arial" w:hAnsi="Arial"/>
          <w:sz w:val="22"/>
          <w:szCs w:val="22"/>
          <w:color w:val="auto"/>
        </w:rPr>
        <w:t>. Awards are generally approved and granted in April.</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Full family medical, dental, vision and short-term disability coverage is offered through our Company's benefit plan and is effective after a 60-day waiting period. Your portion of the premium equivalent is dependent on the coverage you select. In addition, you are eligible to participate in the long-term disability plan, offered at attractive rates, and a financial and tax</w:t>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planning program offered to Portillo’s Executive Team members, which is fully paid for by the Company.</w:t>
      </w:r>
    </w:p>
    <w:p>
      <w:pPr>
        <w:spacing w:after="0" w:line="247"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In the event you are currently covered under a health plan and intend to exercise your COBRA rights during the waiting period, Portillo’s will pay that cost on your behalf until your waiting period is met.</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Portillo’s offers </w:t>
      </w:r>
      <w:r>
        <w:rPr>
          <w:rFonts w:ascii="Arial" w:cs="Arial" w:eastAsia="Arial" w:hAnsi="Arial"/>
          <w:sz w:val="22"/>
          <w:szCs w:val="22"/>
          <w:b w:val="1"/>
          <w:bCs w:val="1"/>
          <w:color w:val="auto"/>
        </w:rPr>
        <w:t>unlimited Paid Time Off (PTO)</w:t>
      </w:r>
      <w:r>
        <w:rPr>
          <w:rFonts w:ascii="Arial" w:cs="Arial" w:eastAsia="Arial" w:hAnsi="Arial"/>
          <w:sz w:val="22"/>
          <w:szCs w:val="22"/>
          <w:color w:val="auto"/>
        </w:rPr>
        <w:t xml:space="preserve"> for Directors, Vice Presidents and Executive Level Team Members. Eligibility for the Company’s 401(k) retirement plan begins after 90 days of employment. In addition, we offer a </w:t>
      </w:r>
      <w:r>
        <w:rPr>
          <w:rFonts w:ascii="Arial" w:cs="Arial" w:eastAsia="Arial" w:hAnsi="Arial"/>
          <w:sz w:val="22"/>
          <w:szCs w:val="22"/>
          <w:b w:val="1"/>
          <w:bCs w:val="1"/>
          <w:color w:val="auto"/>
        </w:rPr>
        <w:t>non-qualified deferred compensation plan for our highly compensated employees</w:t>
      </w:r>
      <w:r>
        <w:rPr>
          <w:rFonts w:ascii="Arial" w:cs="Arial" w:eastAsia="Arial" w:hAnsi="Arial"/>
          <w:sz w:val="22"/>
          <w:szCs w:val="22"/>
          <w:color w:val="auto"/>
        </w:rPr>
        <w:t>. You will be eligible for</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this plan.</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is an offer of employment only and should not be construed as an employment contract. Your employment with the Company is contingent upon your execution and return of the Confidentiality, Work for Hire and Non-Solicitation Agreement, attached, and final approval by the Company’s Compensation Committee.</w:t>
      </w:r>
    </w:p>
    <w:p>
      <w:pPr>
        <w:spacing w:after="0" w:line="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I look forward to having you join our Portillo’s family and know that you will live our values of Family, Greatness, Energy and Fun! Please feel free to contact me via email at </w:t>
      </w:r>
      <w:r>
        <w:rPr>
          <w:rFonts w:ascii="Arial" w:cs="Arial" w:eastAsia="Arial" w:hAnsi="Arial"/>
          <w:sz w:val="22"/>
          <w:szCs w:val="22"/>
          <w:color w:val="auto"/>
          <w:highlight w:val="black"/>
        </w:rPr>
        <w:t>jwaite@portillos.com</w:t>
      </w:r>
      <w:r>
        <w:rPr>
          <w:rFonts w:ascii="Arial" w:cs="Arial" w:eastAsia="Arial" w:hAnsi="Arial"/>
          <w:sz w:val="22"/>
          <w:szCs w:val="22"/>
          <w:color w:val="auto"/>
        </w:rPr>
        <w:t xml:space="preserve"> or my cell phone </w:t>
      </w:r>
      <w:r>
        <w:rPr>
          <w:rFonts w:ascii="Arial" w:cs="Arial" w:eastAsia="Arial" w:hAnsi="Arial"/>
          <w:sz w:val="22"/>
          <w:szCs w:val="22"/>
          <w:color w:val="auto"/>
          <w:highlight w:val="black"/>
        </w:rPr>
        <w:t>(925) 822-7040</w:t>
      </w:r>
      <w:r>
        <w:rPr>
          <w:rFonts w:ascii="Arial" w:cs="Arial" w:eastAsia="Arial" w:hAnsi="Arial"/>
          <w:sz w:val="22"/>
          <w:szCs w:val="22"/>
          <w:color w:val="auto"/>
        </w:rPr>
        <w:t xml:space="preserve"> with any questions.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If you choose to accept this offer, please sign below and return it to me at your earliest convenience.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We look forward to welcoming you to the Portillo’s family.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Jill Waite, CPO</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Portillo’s Hot Dogs LLC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I hereby accept the contingent offer as Chief Operating Officer of Portillo’s Hot Dogs,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Tony Darden_</w:t>
      </w:r>
      <w:r>
        <w:rPr>
          <w:rFonts w:ascii="Arial" w:cs="Arial" w:eastAsia="Arial" w:hAnsi="Arial"/>
          <w:sz w:val="22"/>
          <w:szCs w:val="22"/>
          <w:color w:val="auto"/>
        </w:rPr>
        <w:t>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11/12/2024</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240"/>
          </w:cols>
          <w:pgMar w:left="320" w:top="77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940"/>
        <w:spacing w:after="0" w:line="273"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Brett Patterson, certify that:</w:t>
      </w:r>
    </w:p>
    <w:p>
      <w:pPr>
        <w:spacing w:after="0" w:line="50" w:lineRule="exact"/>
        <w:rPr>
          <w:sz w:val="20"/>
          <w:szCs w:val="20"/>
          <w:color w:val="auto"/>
        </w:rPr>
      </w:pPr>
    </w:p>
    <w:p>
      <w:pPr>
        <w:ind w:left="1380" w:hanging="909"/>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29, 2026 of Portillo's Inc.;</w:t>
      </w:r>
    </w:p>
    <w:p>
      <w:pPr>
        <w:spacing w:after="0" w:line="31" w:lineRule="exact"/>
        <w:rPr>
          <w:rFonts w:ascii="Arial" w:cs="Arial" w:eastAsia="Arial" w:hAnsi="Arial"/>
          <w:sz w:val="18"/>
          <w:szCs w:val="18"/>
          <w:color w:val="auto"/>
        </w:rPr>
      </w:pPr>
    </w:p>
    <w:p>
      <w:pPr>
        <w:ind w:left="1380" w:right="80" w:hanging="909"/>
        <w:spacing w:after="0" w:line="224"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8"/>
          <w:szCs w:val="18"/>
          <w:color w:val="auto"/>
        </w:rPr>
      </w:pPr>
    </w:p>
    <w:p>
      <w:pPr>
        <w:ind w:left="1380" w:right="80" w:hanging="909"/>
        <w:spacing w:after="0" w:line="22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Arial" w:cs="Arial" w:eastAsia="Arial" w:hAnsi="Arial"/>
          <w:sz w:val="18"/>
          <w:szCs w:val="18"/>
          <w:color w:val="auto"/>
        </w:rPr>
      </w:pPr>
    </w:p>
    <w:p>
      <w:pPr>
        <w:ind w:left="1380" w:right="320" w:hanging="909"/>
        <w:spacing w:after="0" w:line="22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 w:lineRule="exact"/>
        <w:rPr>
          <w:rFonts w:ascii="Arial" w:cs="Arial" w:eastAsia="Arial" w:hAnsi="Arial"/>
          <w:sz w:val="18"/>
          <w:szCs w:val="18"/>
          <w:color w:val="auto"/>
        </w:rPr>
      </w:pPr>
    </w:p>
    <w:p>
      <w:pPr>
        <w:ind w:left="1380" w:right="20" w:hanging="450"/>
        <w:spacing w:after="0" w:line="227"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 w:lineRule="exact"/>
        <w:rPr>
          <w:rFonts w:ascii="Arial" w:cs="Arial" w:eastAsia="Arial" w:hAnsi="Arial"/>
          <w:sz w:val="18"/>
          <w:szCs w:val="18"/>
          <w:color w:val="auto"/>
        </w:rPr>
      </w:pPr>
    </w:p>
    <w:p>
      <w:pPr>
        <w:ind w:left="1380" w:right="440" w:hanging="450"/>
        <w:spacing w:after="0" w:line="227"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Arial" w:cs="Arial" w:eastAsia="Arial" w:hAnsi="Arial"/>
          <w:sz w:val="18"/>
          <w:szCs w:val="18"/>
          <w:color w:val="auto"/>
        </w:rPr>
      </w:pPr>
    </w:p>
    <w:p>
      <w:pPr>
        <w:ind w:left="1380" w:right="220" w:hanging="450"/>
        <w:spacing w:after="0" w:line="227"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8"/>
          <w:szCs w:val="18"/>
          <w:color w:val="auto"/>
        </w:rPr>
      </w:pPr>
    </w:p>
    <w:p>
      <w:pPr>
        <w:ind w:left="1380" w:right="280" w:hanging="450"/>
        <w:spacing w:after="0" w:line="227"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 w:lineRule="exact"/>
        <w:rPr>
          <w:rFonts w:ascii="Arial" w:cs="Arial" w:eastAsia="Arial" w:hAnsi="Arial"/>
          <w:sz w:val="18"/>
          <w:szCs w:val="18"/>
          <w:color w:val="auto"/>
        </w:rPr>
      </w:pPr>
    </w:p>
    <w:p>
      <w:pPr>
        <w:ind w:left="1380" w:right="320" w:hanging="909"/>
        <w:spacing w:after="0" w:line="22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 w:lineRule="exact"/>
        <w:rPr>
          <w:rFonts w:ascii="Arial" w:cs="Arial" w:eastAsia="Arial" w:hAnsi="Arial"/>
          <w:sz w:val="18"/>
          <w:szCs w:val="18"/>
          <w:color w:val="auto"/>
        </w:rPr>
      </w:pPr>
    </w:p>
    <w:p>
      <w:pPr>
        <w:jc w:val="both"/>
        <w:ind w:left="1380" w:right="340" w:hanging="450"/>
        <w:spacing w:after="0" w:line="227"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8"/>
          <w:szCs w:val="18"/>
          <w:color w:val="auto"/>
        </w:rPr>
      </w:pPr>
    </w:p>
    <w:p>
      <w:pPr>
        <w:ind w:left="1380" w:right="680" w:hanging="450"/>
        <w:spacing w:after="0"/>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Brett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17780</wp:posOffset>
            </wp:positionV>
            <wp:extent cx="36772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677285"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Brett Patterson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Director</w:t>
      </w:r>
    </w:p>
    <w:p>
      <w:pPr>
        <w:ind w:left="54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940"/>
        <w:spacing w:after="0" w:line="273"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Michelle Hook, certify that:</w:t>
      </w:r>
    </w:p>
    <w:p>
      <w:pPr>
        <w:spacing w:after="0" w:line="50" w:lineRule="exact"/>
        <w:rPr>
          <w:sz w:val="20"/>
          <w:szCs w:val="20"/>
          <w:color w:val="auto"/>
        </w:rPr>
      </w:pPr>
    </w:p>
    <w:p>
      <w:pPr>
        <w:ind w:left="1380" w:hanging="909"/>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29, 2026 of Portillo's Inc.;</w:t>
      </w:r>
    </w:p>
    <w:p>
      <w:pPr>
        <w:spacing w:after="0" w:line="31" w:lineRule="exact"/>
        <w:rPr>
          <w:rFonts w:ascii="Arial" w:cs="Arial" w:eastAsia="Arial" w:hAnsi="Arial"/>
          <w:sz w:val="18"/>
          <w:szCs w:val="18"/>
          <w:color w:val="auto"/>
        </w:rPr>
      </w:pPr>
    </w:p>
    <w:p>
      <w:pPr>
        <w:ind w:left="1380" w:right="80" w:hanging="909"/>
        <w:spacing w:after="0" w:line="224"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8"/>
          <w:szCs w:val="18"/>
          <w:color w:val="auto"/>
        </w:rPr>
      </w:pPr>
    </w:p>
    <w:p>
      <w:pPr>
        <w:ind w:left="1380" w:right="80" w:hanging="909"/>
        <w:spacing w:after="0" w:line="227"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Arial" w:cs="Arial" w:eastAsia="Arial" w:hAnsi="Arial"/>
          <w:sz w:val="18"/>
          <w:szCs w:val="18"/>
          <w:color w:val="auto"/>
        </w:rPr>
      </w:pPr>
    </w:p>
    <w:p>
      <w:pPr>
        <w:ind w:left="1380" w:right="320" w:hanging="909"/>
        <w:spacing w:after="0" w:line="227"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 w:lineRule="exact"/>
        <w:rPr>
          <w:rFonts w:ascii="Arial" w:cs="Arial" w:eastAsia="Arial" w:hAnsi="Arial"/>
          <w:sz w:val="18"/>
          <w:szCs w:val="18"/>
          <w:color w:val="auto"/>
        </w:rPr>
      </w:pPr>
    </w:p>
    <w:p>
      <w:pPr>
        <w:ind w:left="1380" w:right="20" w:hanging="450"/>
        <w:spacing w:after="0" w:line="227"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 w:lineRule="exact"/>
        <w:rPr>
          <w:rFonts w:ascii="Arial" w:cs="Arial" w:eastAsia="Arial" w:hAnsi="Arial"/>
          <w:sz w:val="18"/>
          <w:szCs w:val="18"/>
          <w:color w:val="auto"/>
        </w:rPr>
      </w:pPr>
    </w:p>
    <w:p>
      <w:pPr>
        <w:ind w:left="1380" w:right="440" w:hanging="450"/>
        <w:spacing w:after="0" w:line="227"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Arial" w:cs="Arial" w:eastAsia="Arial" w:hAnsi="Arial"/>
          <w:sz w:val="18"/>
          <w:szCs w:val="18"/>
          <w:color w:val="auto"/>
        </w:rPr>
      </w:pPr>
    </w:p>
    <w:p>
      <w:pPr>
        <w:ind w:left="1380" w:right="220" w:hanging="450"/>
        <w:spacing w:after="0" w:line="227"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8"/>
          <w:szCs w:val="18"/>
          <w:color w:val="auto"/>
        </w:rPr>
      </w:pPr>
    </w:p>
    <w:p>
      <w:pPr>
        <w:ind w:left="1380" w:right="280" w:hanging="450"/>
        <w:spacing w:after="0" w:line="227"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 w:lineRule="exact"/>
        <w:rPr>
          <w:rFonts w:ascii="Arial" w:cs="Arial" w:eastAsia="Arial" w:hAnsi="Arial"/>
          <w:sz w:val="18"/>
          <w:szCs w:val="18"/>
          <w:color w:val="auto"/>
        </w:rPr>
      </w:pPr>
    </w:p>
    <w:p>
      <w:pPr>
        <w:ind w:left="1380" w:right="320" w:hanging="909"/>
        <w:spacing w:after="0" w:line="227"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 w:lineRule="exact"/>
        <w:rPr>
          <w:rFonts w:ascii="Arial" w:cs="Arial" w:eastAsia="Arial" w:hAnsi="Arial"/>
          <w:sz w:val="18"/>
          <w:szCs w:val="18"/>
          <w:color w:val="auto"/>
        </w:rPr>
      </w:pPr>
    </w:p>
    <w:p>
      <w:pPr>
        <w:jc w:val="both"/>
        <w:ind w:left="1380" w:right="340" w:hanging="450"/>
        <w:spacing w:after="0" w:line="227"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8"/>
          <w:szCs w:val="18"/>
          <w:color w:val="auto"/>
        </w:rPr>
      </w:pPr>
    </w:p>
    <w:p>
      <w:pPr>
        <w:ind w:left="1380" w:right="680" w:hanging="450"/>
        <w:spacing w:after="0"/>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5440" w:val="left"/>
          <w:tab w:leader="none" w:pos="614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17780</wp:posOffset>
            </wp:positionV>
            <wp:extent cx="32315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Michelle Hook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and Treasurer</w:t>
      </w:r>
    </w:p>
    <w:p>
      <w:pPr>
        <w:ind w:left="61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12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connection with the Quarterly Report on Form 10-Q of Portillo's Inc. (the “Company”), for the quarterly period ended March 29, 2026,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 w:lineRule="exact"/>
        <w:rPr>
          <w:sz w:val="20"/>
          <w:szCs w:val="20"/>
          <w:color w:val="auto"/>
        </w:rPr>
      </w:pPr>
    </w:p>
    <w:p>
      <w:pPr>
        <w:ind w:left="900" w:hanging="442"/>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2" w:lineRule="exact"/>
        <w:rPr>
          <w:sz w:val="20"/>
          <w:szCs w:val="20"/>
          <w:color w:val="auto"/>
        </w:rPr>
      </w:pPr>
    </w:p>
    <w:p>
      <w:pPr>
        <w:ind w:left="900" w:right="60" w:hanging="442"/>
        <w:spacing w:after="0" w:line="23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100" w:type="dxa"/>
            <w:vAlign w:val="bottom"/>
          </w:tcPr>
          <w:p>
            <w:pPr>
              <w:ind w:left="20"/>
              <w:spacing w:after="0"/>
              <w:rPr>
                <w:sz w:val="20"/>
                <w:szCs w:val="20"/>
                <w:color w:val="auto"/>
              </w:rPr>
            </w:pPr>
            <w:r>
              <w:rPr>
                <w:rFonts w:ascii="Arial" w:cs="Arial" w:eastAsia="Arial" w:hAnsi="Arial"/>
                <w:sz w:val="18"/>
                <w:szCs w:val="18"/>
                <w:color w:val="auto"/>
              </w:rPr>
              <w:t>Date: May 5, 2026</w:t>
            </w:r>
          </w:p>
        </w:tc>
        <w:tc>
          <w:tcPr>
            <w:tcW w:w="2380" w:type="dxa"/>
            <w:vAlign w:val="bottom"/>
            <w:gridSpan w:val="2"/>
          </w:tcPr>
          <w:p>
            <w:pPr>
              <w:ind w:left="1640"/>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Brett Patterson</w:t>
            </w:r>
          </w:p>
        </w:tc>
        <w:tc>
          <w:tcPr>
            <w:tcW w:w="20" w:type="dxa"/>
            <w:vAlign w:val="bottom"/>
          </w:tcPr>
          <w:p>
            <w:pPr>
              <w:spacing w:after="0"/>
              <w:rPr>
                <w:sz w:val="20"/>
                <w:szCs w:val="20"/>
                <w:color w:val="auto"/>
              </w:rPr>
            </w:pPr>
          </w:p>
        </w:tc>
      </w:tr>
      <w:tr>
        <w:trPr>
          <w:trHeight w:val="218"/>
        </w:trPr>
        <w:tc>
          <w:tcPr>
            <w:tcW w:w="3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Brett Patterson</w:t>
            </w:r>
          </w:p>
        </w:tc>
        <w:tc>
          <w:tcPr>
            <w:tcW w:w="20" w:type="dxa"/>
            <w:vAlign w:val="bottom"/>
          </w:tcPr>
          <w:p>
            <w:pPr>
              <w:spacing w:after="0"/>
              <w:rPr>
                <w:sz w:val="18"/>
                <w:szCs w:val="18"/>
                <w:color w:val="auto"/>
              </w:rPr>
            </w:pPr>
          </w:p>
        </w:tc>
      </w:tr>
      <w:tr>
        <w:trPr>
          <w:trHeight w:val="189"/>
        </w:trPr>
        <w:tc>
          <w:tcPr>
            <w:tcW w:w="31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tcPr>
          <w:p>
            <w:pPr>
              <w:ind w:left="20"/>
              <w:spacing w:after="0" w:line="189" w:lineRule="exact"/>
              <w:rPr>
                <w:sz w:val="20"/>
                <w:szCs w:val="20"/>
                <w:color w:val="auto"/>
              </w:rPr>
            </w:pPr>
            <w:r>
              <w:rPr>
                <w:rFonts w:ascii="Arial" w:cs="Arial" w:eastAsia="Arial" w:hAnsi="Arial"/>
                <w:sz w:val="18"/>
                <w:szCs w:val="18"/>
                <w:color w:val="auto"/>
              </w:rPr>
              <w:t>President, Chief Executive Officer and Director</w:t>
            </w:r>
          </w:p>
        </w:tc>
        <w:tc>
          <w:tcPr>
            <w:tcW w:w="20" w:type="dxa"/>
            <w:vAlign w:val="bottom"/>
          </w:tcPr>
          <w:p>
            <w:pPr>
              <w:spacing w:after="0"/>
              <w:rPr>
                <w:sz w:val="16"/>
                <w:szCs w:val="16"/>
                <w:color w:val="auto"/>
              </w:rPr>
            </w:pPr>
          </w:p>
        </w:tc>
      </w:tr>
      <w:tr>
        <w:trPr>
          <w:trHeight w:val="239"/>
        </w:trPr>
        <w:tc>
          <w:tcPr>
            <w:tcW w:w="3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576"/>
        </w:trPr>
        <w:tc>
          <w:tcPr>
            <w:tcW w:w="3100" w:type="dxa"/>
            <w:vAlign w:val="bottom"/>
          </w:tcPr>
          <w:p>
            <w:pPr>
              <w:spacing w:after="0"/>
              <w:rPr>
                <w:sz w:val="20"/>
                <w:szCs w:val="20"/>
                <w:color w:val="auto"/>
              </w:rPr>
            </w:pPr>
            <w:r>
              <w:rPr>
                <w:rFonts w:ascii="Arial" w:cs="Arial" w:eastAsia="Arial" w:hAnsi="Arial"/>
                <w:sz w:val="18"/>
                <w:szCs w:val="18"/>
                <w:color w:val="auto"/>
              </w:rPr>
              <w:t>Date: May 5, 2026</w:t>
            </w:r>
          </w:p>
        </w:tc>
        <w:tc>
          <w:tcPr>
            <w:tcW w:w="2380" w:type="dxa"/>
            <w:vAlign w:val="bottom"/>
            <w:gridSpan w:val="2"/>
          </w:tcPr>
          <w:p>
            <w:pPr>
              <w:ind w:left="1620"/>
              <w:spacing w:after="0"/>
              <w:rPr>
                <w:sz w:val="20"/>
                <w:szCs w:val="20"/>
                <w:color w:val="auto"/>
              </w:rPr>
            </w:pPr>
            <w:r>
              <w:rPr>
                <w:rFonts w:ascii="Arial" w:cs="Arial" w:eastAsia="Arial" w:hAnsi="Arial"/>
                <w:sz w:val="18"/>
                <w:szCs w:val="18"/>
                <w:color w:val="auto"/>
              </w:rPr>
              <w:t>By:</w:t>
            </w:r>
          </w:p>
        </w:tc>
        <w:tc>
          <w:tcPr>
            <w:tcW w:w="5720" w:type="dxa"/>
            <w:vAlign w:val="bottom"/>
          </w:tcPr>
          <w:p>
            <w:pPr>
              <w:spacing w:after="0"/>
              <w:rPr>
                <w:sz w:val="20"/>
                <w:szCs w:val="20"/>
                <w:color w:val="auto"/>
              </w:rPr>
            </w:pPr>
            <w:r>
              <w:rPr>
                <w:rFonts w:ascii="Arial" w:cs="Arial" w:eastAsia="Arial" w:hAnsi="Arial"/>
                <w:sz w:val="18"/>
                <w:szCs w:val="18"/>
                <w:color w:val="auto"/>
              </w:rPr>
              <w:t>/s/ Michelle Hook</w:t>
            </w:r>
          </w:p>
        </w:tc>
        <w:tc>
          <w:tcPr>
            <w:tcW w:w="20" w:type="dxa"/>
            <w:vAlign w:val="bottom"/>
          </w:tcPr>
          <w:p>
            <w:pPr>
              <w:spacing w:after="0"/>
              <w:rPr>
                <w:sz w:val="24"/>
                <w:szCs w:val="24"/>
                <w:color w:val="auto"/>
              </w:rPr>
            </w:pPr>
          </w:p>
        </w:tc>
      </w:tr>
      <w:tr>
        <w:trPr>
          <w:trHeight w:val="218"/>
        </w:trPr>
        <w:tc>
          <w:tcPr>
            <w:tcW w:w="3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Michelle Hook</w:t>
            </w:r>
          </w:p>
        </w:tc>
        <w:tc>
          <w:tcPr>
            <w:tcW w:w="20" w:type="dxa"/>
            <w:vAlign w:val="bottom"/>
            <w:tcBorders>
              <w:top w:val="single" w:sz="8" w:color="auto"/>
            </w:tcBorders>
          </w:tcPr>
          <w:p>
            <w:pPr>
              <w:spacing w:after="0"/>
              <w:rPr>
                <w:sz w:val="18"/>
                <w:szCs w:val="18"/>
                <w:color w:val="auto"/>
              </w:rPr>
            </w:pPr>
          </w:p>
        </w:tc>
      </w:tr>
      <w:tr>
        <w:trPr>
          <w:trHeight w:val="181"/>
        </w:trPr>
        <w:tc>
          <w:tcPr>
            <w:tcW w:w="31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Pr>
          <w:p>
            <w:pPr>
              <w:spacing w:after="0" w:line="181" w:lineRule="exact"/>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15"/>
                <w:szCs w:val="15"/>
                <w:color w:val="auto"/>
              </w:rPr>
            </w:pPr>
          </w:p>
        </w:tc>
      </w:tr>
      <w:tr>
        <w:trPr>
          <w:trHeight w:val="239"/>
        </w:trPr>
        <w:tc>
          <w:tcPr>
            <w:tcW w:w="3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Roman"/>
      <w:start w:val="2"/>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6"/>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bullet"/>
      <w:start w:val="1"/>
    </w:lvl>
  </w:abstractNum>
  <w:abstractNum w:abstractNumId="16">
    <w:nsid w:val="25E45D3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6" Type="http://schemas.openxmlformats.org/officeDocument/2006/relationships/image" Target="media/image76.jpe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jpeg"/><Relationship Id="rId91" Type="http://schemas.openxmlformats.org/officeDocument/2006/relationships/image" Target="media/image81.jpeg"/><Relationship Id="rId92" Type="http://schemas.openxmlformats.org/officeDocument/2006/relationships/image" Target="media/image82.png"/><Relationship Id="rId93" Type="http://schemas.openxmlformats.org/officeDocument/2006/relationships/image" Target="media/image83.png"/><Relationship Id="rId83" Type="http://schemas.openxmlformats.org/officeDocument/2006/relationships/hyperlink" Target="https://www.sec.gov/Archives/edgar/data/1871509/000187150921000009/exhibit31amendedandrestate.htm" TargetMode="External"/><Relationship Id="rId84" Type="http://schemas.openxmlformats.org/officeDocument/2006/relationships/hyperlink" Target="https://www.sec.gov/Archives/edgar/data/1871509/000187150921000009/exhibit32amendedandrestate.htm" TargetMode="External"/><Relationship Id="rId85" Type="http://schemas.openxmlformats.org/officeDocument/2006/relationships/hyperlink" Target="https://www.sec.gov/Archives/edgar/data/1871509/000187150926000012/exhibit1031offerletter-b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2026-05-05T07:07:35Z</dcterms:created>
  <dcterms:modified xsi:type="dcterms:W3CDTF">2026-05-05T07:07:35Z</dcterms:modified>
</cp:coreProperties>
</file>