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12065</wp:posOffset>
            </wp:positionV>
            <wp:extent cx="15684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-278765</wp:posOffset>
            </wp:positionV>
            <wp:extent cx="1568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176530</wp:posOffset>
            </wp:positionV>
            <wp:extent cx="228028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028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PORTILLO'S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1205" w:right="339" w:bottom="1440" w:gutter="0" w:footer="0" w:header="0"/>
        </w:sectPr>
      </w:pPr>
    </w:p>
    <w:p>
      <w:pPr>
        <w:spacing w:after="0" w:line="28" w:lineRule="exact"/>
        <w:rPr>
          <w:sz w:val="24"/>
          <w:szCs w:val="24"/>
          <w:color w:val="auto"/>
        </w:rPr>
      </w:pPr>
    </w:p>
    <w:p>
      <w:pPr>
        <w:ind w:left="19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1680"/>
        <w:spacing w:after="0"/>
        <w:rPr>
          <w:sz w:val="20"/>
          <w:szCs w:val="20"/>
          <w:color w:val="auto"/>
        </w:rPr>
      </w:pPr>
      <w:r>
        <w:rPr>
          <w:rFonts w:ascii="Arial" w:cs="Arial" w:eastAsia="Arial" w:hAnsi="Arial"/>
          <w:sz w:val="17"/>
          <w:szCs w:val="17"/>
          <w:b w:val="1"/>
          <w:bCs w:val="1"/>
          <w:color w:val="auto"/>
        </w:rPr>
        <w:t>001-40951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87-1104304</w:t>
      </w:r>
    </w:p>
    <w:p>
      <w:pPr>
        <w:spacing w:after="0" w:line="65" w:lineRule="exact"/>
        <w:rPr>
          <w:sz w:val="24"/>
          <w:szCs w:val="24"/>
          <w:color w:val="auto"/>
        </w:rPr>
      </w:pPr>
    </w:p>
    <w:p>
      <w:pPr>
        <w:sectPr>
          <w:pgSz w:w="11900" w:h="16838" w:orient="portrait"/>
          <w:cols w:equalWidth="0" w:num="3">
            <w:col w:w="4580" w:space="720"/>
            <w:col w:w="2540" w:space="720"/>
            <w:col w:w="2680"/>
          </w:cols>
          <w:pgMar w:left="320" w:top="1205" w:right="339" w:bottom="1440" w:gutter="0" w:footer="0" w:header="0"/>
          <w:type w:val="continuous"/>
        </w:sectPr>
      </w:pPr>
    </w:p>
    <w:p>
      <w:pPr>
        <w:ind w:left="48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115" w:lineRule="exact"/>
        <w:rPr>
          <w:sz w:val="24"/>
          <w:szCs w:val="24"/>
          <w:color w:val="auto"/>
        </w:rPr>
      </w:pPr>
    </w:p>
    <w:p>
      <w:pPr>
        <w:sectPr>
          <w:pgSz w:w="11900" w:h="16838" w:orient="portrait"/>
          <w:cols w:equalWidth="0" w:num="3">
            <w:col w:w="4200" w:space="660"/>
            <w:col w:w="2320" w:space="720"/>
            <w:col w:w="3340"/>
          </w:cols>
          <w:pgMar w:left="320" w:top="1205"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2001 Spring Road, Suite 400, Oak Brook, Illinois 60523</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(630) 954-3773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353"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168"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6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205" w:right="339" w:bottom="1440" w:gutter="0" w:footer="0" w:header="0"/>
          <w:type w:val="continuous"/>
        </w:sectPr>
      </w:pPr>
    </w:p>
    <w:p>
      <w:pPr>
        <w:spacing w:after="0" w:line="59" w:lineRule="exact"/>
        <w:rPr>
          <w:sz w:val="24"/>
          <w:szCs w:val="24"/>
          <w:color w:val="auto"/>
        </w:rPr>
      </w:pPr>
    </w:p>
    <w:p>
      <w:pPr>
        <w:jc w:val="center"/>
        <w:ind w:left="6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46" w:lineRule="exact"/>
        <w:rPr>
          <w:sz w:val="24"/>
          <w:szCs w:val="24"/>
          <w:color w:val="auto"/>
        </w:rPr>
      </w:pPr>
    </w:p>
    <w:p>
      <w:pPr>
        <w:sectPr>
          <w:pgSz w:w="11900" w:h="16838" w:orient="portrait"/>
          <w:cols w:equalWidth="0" w:num="3">
            <w:col w:w="4580" w:space="720"/>
            <w:col w:w="1200" w:space="720"/>
            <w:col w:w="4020"/>
          </w:cols>
          <w:pgMar w:left="320" w:top="1205" w:right="339" w:bottom="1440" w:gutter="0" w:footer="0" w:header="0"/>
          <w:type w:val="continuous"/>
        </w:sectPr>
      </w:pPr>
    </w:p>
    <w:p>
      <w:pPr>
        <w:ind w:left="760"/>
        <w:spacing w:after="0"/>
        <w:rPr>
          <w:sz w:val="20"/>
          <w:szCs w:val="20"/>
          <w:color w:val="auto"/>
        </w:rPr>
      </w:pPr>
      <w:r>
        <w:rPr>
          <w:rFonts w:ascii="Arial" w:cs="Arial" w:eastAsia="Arial" w:hAnsi="Arial"/>
          <w:sz w:val="16"/>
          <w:szCs w:val="16"/>
          <w:color w:val="auto"/>
        </w:rPr>
        <w:t>Class A 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PTLO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200" w:lineRule="exact"/>
        <w:rPr>
          <w:sz w:val="24"/>
          <w:szCs w:val="24"/>
          <w:color w:val="auto"/>
        </w:rPr>
      </w:pPr>
    </w:p>
    <w:p>
      <w:pPr>
        <w:sectPr>
          <w:pgSz w:w="11900" w:h="16838" w:orient="portrait"/>
          <w:cols w:equalWidth="0" w:num="3">
            <w:col w:w="4960" w:space="720"/>
            <w:col w:w="1480" w:space="720"/>
            <w:col w:w="3360"/>
          </w:cols>
          <w:pgMar w:left="320" w:top="1205" w:right="339" w:bottom="1440" w:gutter="0" w:footer="0" w:header="0"/>
          <w:type w:val="continuous"/>
        </w:sectPr>
      </w:pPr>
    </w:p>
    <w:p>
      <w:pPr>
        <w:spacing w:after="0" w:line="170" w:lineRule="exact"/>
        <w:rPr>
          <w:sz w:val="24"/>
          <w:szCs w:val="24"/>
          <w:color w:val="auto"/>
        </w:rPr>
      </w:pPr>
    </w:p>
    <w:p>
      <w:pPr>
        <w:spacing w:after="0" w:line="25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1115060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1" w:name="page2"/>
    <w:bookmarkEnd w:id="1"/>
    <w:p>
      <w:pPr>
        <w:ind w:right="220"/>
        <w:spacing w:after="0" w:line="272"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Interim Chief Financial Officer’s Agreement</w:t>
      </w:r>
    </w:p>
    <w:p>
      <w:pPr>
        <w:spacing w:after="0" w:line="23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June 29, 2026, Portillo’s Inc. (the “Company”) entered into Amendment No. 1 (the “Amendment”) to the independent contractor agreement between Pamela Smith and the Company, dated May 20, 2026 (the “Agreement”), pursuant to which Ms. Smith serves as Interim Chief Financial Officer and principal accounting officer.</w:t>
      </w:r>
    </w:p>
    <w:p>
      <w:pPr>
        <w:spacing w:after="0" w:line="19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Amendment extends the term of Ms. Smith’s service as Interim Chief Financial Officer through the earlier to occur of (i) December 31, 2026 or (ii) the appointment of a permanent Chief Financial Officer of the Company. In addition, effective as of June 29, 2026, the Company</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designated Ms. Smith to serve as Treasurer of the Company during the term of her engagement as Interim Chief Financial Officer, with such duties and authority as are customary for such role and subject to the Company’s delegation of authority policy.</w:t>
      </w:r>
    </w:p>
    <w:p>
      <w:pPr>
        <w:spacing w:after="0" w:line="19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Other than the foregoing, the material terms of the Agreement, including Ms. Smith’s compensation and responsibilities, remain unchanged. There are no transactions between Ms. Smith and the Company that would require disclosure under Item 404(a) of Regulation S-K, other than as previously disclosed.</w:t>
      </w:r>
    </w:p>
    <w:p>
      <w:pPr>
        <w:spacing w:after="0" w:line="1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full text of the Amendment, a copy of which the Company intends to file as an exhibit to its next periodic report with the Securities and Exchange Commission.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9"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Exhibit 99.1 shall not be deemed “filed” for purposes of Section 18 of the Securities Exchange Act of 1934 (the “Exchange Act”) or otherwise subject to the liabilities under that Section and shall not be deemed to be incorporated by reference into any filing of the Registrant under the Securities Act of 1933 or the Exchange Act.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60" w:type="dxa"/>
            <w:vAlign w:val="bottom"/>
            <w:gridSpan w:val="3"/>
          </w:tcPr>
          <w:p>
            <w:pPr>
              <w:spacing w:after="0"/>
              <w:rPr>
                <w:sz w:val="20"/>
                <w:szCs w:val="20"/>
                <w:color w:val="auto"/>
              </w:rPr>
            </w:pPr>
            <w:r>
              <w:rPr>
                <w:rFonts w:ascii="Arial" w:cs="Arial" w:eastAsia="Arial" w:hAnsi="Arial"/>
                <w:sz w:val="18"/>
                <w:szCs w:val="18"/>
                <w:color w:val="414042"/>
              </w:rPr>
              <w:t>(d) Exhibits.</w:t>
            </w:r>
          </w:p>
        </w:tc>
        <w:tc>
          <w:tcPr>
            <w:tcW w:w="1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780" w:type="dxa"/>
            <w:vAlign w:val="bottom"/>
            <w:gridSpan w:val="3"/>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4"/>
        </w:trPr>
        <w:tc>
          <w:tcPr>
            <w:tcW w:w="20" w:type="dxa"/>
            <w:vAlign w:val="bottom"/>
          </w:tcPr>
          <w:p>
            <w:pPr>
              <w:spacing w:after="0"/>
              <w:rPr>
                <w:sz w:val="16"/>
                <w:szCs w:val="16"/>
                <w:color w:val="auto"/>
              </w:rPr>
            </w:pPr>
          </w:p>
        </w:tc>
        <w:tc>
          <w:tcPr>
            <w:tcW w:w="360" w:type="dxa"/>
            <w:vAlign w:val="bottom"/>
          </w:tcPr>
          <w:p>
            <w:pPr>
              <w:spacing w:after="0" w:line="195" w:lineRule="exact"/>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p>
        </w:tc>
        <w:tc>
          <w:tcPr>
            <w:tcW w:w="1080" w:type="dxa"/>
            <w:vAlign w:val="bottom"/>
          </w:tcPr>
          <w:p>
            <w:pPr>
              <w:spacing w:after="0"/>
              <w:rPr>
                <w:sz w:val="16"/>
                <w:szCs w:val="16"/>
                <w:color w:val="auto"/>
              </w:rPr>
            </w:pPr>
          </w:p>
        </w:tc>
        <w:tc>
          <w:tcPr>
            <w:tcW w:w="9780" w:type="dxa"/>
            <w:vAlign w:val="bottom"/>
            <w:gridSpan w:val="3"/>
          </w:tcPr>
          <w:p>
            <w:pPr>
              <w:ind w:left="100"/>
              <w:spacing w:after="0" w:line="195" w:lineRule="exact"/>
              <w:rPr>
                <w:sz w:val="20"/>
                <w:szCs w:val="20"/>
                <w:color w:val="auto"/>
              </w:rPr>
            </w:pPr>
            <w:r>
              <w:rPr>
                <w:rFonts w:ascii="Arial" w:cs="Arial" w:eastAsia="Arial" w:hAnsi="Arial"/>
                <w:sz w:val="18"/>
                <w:szCs w:val="18"/>
                <w:color w:val="0000FF"/>
              </w:rPr>
              <w:t>Amendment to Independent Contractor Agreement, dated as of June 29, 2026.</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60" w:type="dxa"/>
            <w:vAlign w:val="bottom"/>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104</w:t>
            </w:r>
          </w:p>
        </w:tc>
        <w:tc>
          <w:tcPr>
            <w:tcW w:w="1080" w:type="dxa"/>
            <w:vAlign w:val="bottom"/>
          </w:tcPr>
          <w:p>
            <w:pPr>
              <w:spacing w:after="0"/>
              <w:rPr>
                <w:sz w:val="22"/>
                <w:szCs w:val="22"/>
                <w:color w:val="auto"/>
              </w:rPr>
            </w:pPr>
          </w:p>
        </w:tc>
        <w:tc>
          <w:tcPr>
            <w:tcW w:w="9780" w:type="dxa"/>
            <w:vAlign w:val="bottom"/>
            <w:gridSpan w:val="3"/>
          </w:tcPr>
          <w:p>
            <w:pPr>
              <w:ind w:left="10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3040"/>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414042"/>
        </w:rPr>
        <w:t>SIGNATURES</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thereto duly authorized.</w:t>
      </w: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Portillo's Inc.</w:t>
      </w:r>
    </w:p>
    <w:p>
      <w:pPr>
        <w:spacing w:after="0" w:line="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275" w:lineRule="exact"/>
        <w:rPr>
          <w:sz w:val="20"/>
          <w:szCs w:val="20"/>
          <w:color w:val="auto"/>
        </w:rPr>
      </w:pPr>
    </w:p>
    <w:p>
      <w:pPr>
        <w:ind w:left="20"/>
        <w:spacing w:after="0"/>
        <w:tabs>
          <w:tab w:leader="none" w:pos="4640" w:val="left"/>
          <w:tab w:leader="none" w:pos="5220" w:val="left"/>
        </w:tabs>
        <w:rPr>
          <w:sz w:val="20"/>
          <w:szCs w:val="20"/>
          <w:color w:val="auto"/>
        </w:rPr>
      </w:pPr>
      <w:r>
        <w:rPr>
          <w:rFonts w:ascii="Arial" w:cs="Arial" w:eastAsia="Arial" w:hAnsi="Arial"/>
          <w:sz w:val="18"/>
          <w:szCs w:val="18"/>
          <w:color w:val="auto"/>
        </w:rPr>
        <w:t>Date: June 30,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Kelly M. Kaiser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17780</wp:posOffset>
            </wp:positionV>
            <wp:extent cx="3823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Kelly M. Kaiser</w:t>
      </w:r>
    </w:p>
    <w:p>
      <w:pPr>
        <w:spacing w:after="0" w:line="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120"/>
          </w:cols>
          <w:pgMar w:left="320" w:top="998" w:right="459" w:bottom="1440" w:gutter="0" w:footer="0" w:header="0"/>
        </w:sectPr>
      </w:pPr>
    </w:p>
    <w:bookmarkStart w:id="3" w:name="page4"/>
    <w:bookmarkEnd w:id="3"/>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PORTILLO’S HOT DOGS,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CONSULTING AGREEMENT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This Amendment to Consulting Agreement (“Amendment”), made in connection with the position of Portillo’s Interim Chief Financial Officer, is entered into as of June 29, 2026, (the “Amendment Effective Date”), by and between Portillo’s Hot Dogs, LLC, a Delaware limited liability company (“Portillo’s” or the “Company”), and Pamela F. Smith, via PF Smith Consulting LLC (“Consultant”). The Company and Consultant are each referred to herein as a “Party” and collectively as the “Parties.”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2"/>
          <w:szCs w:val="22"/>
          <w:color w:val="auto"/>
        </w:rPr>
        <w:t>WHEREAS, the Parties entered into that certain Consulting Agreement, dated as of May 20, 2026 (the “Agreement”), pursuant to which Consultant agrees to serve as the Company’s Interim Chief Financial Officer;</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WHEREAS, Section 5 of the Agreement provides that the Term shall continue until the earlier of the appointment of a permanent Chief Financial Officer or approximately six (6) weeks from the Effective Date, i.e., July 1, 2026, and that the Term may be extended by the Parties upon mutual written agreement;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 the Parties desire to extend the Term on the terms and conditions set forth herein; and</w:t>
      </w:r>
    </w:p>
    <w:p>
      <w:pPr>
        <w:spacing w:after="0" w:line="206"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2"/>
          <w:szCs w:val="22"/>
          <w:color w:val="auto"/>
        </w:rPr>
        <w:t>WHEREAS, Section 14 of the Agreement provides that any modification or amendment of any provision of the Agreement shall be effective only if in writing and signed by both Parties.</w:t>
      </w:r>
    </w:p>
    <w:p>
      <w:pPr>
        <w:spacing w:after="0" w:line="105"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set forth herein, and other good and valuable consideration, the receipt and sufficiency of which are hereby acknowledged, the Parties agree as follows:</w:t>
      </w:r>
    </w:p>
    <w:p>
      <w:pPr>
        <w:spacing w:after="0" w:line="101"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Services; Treasurer Designation</w:t>
      </w:r>
      <w:r>
        <w:rPr>
          <w:rFonts w:ascii="Times New Roman" w:cs="Times New Roman" w:eastAsia="Times New Roman" w:hAnsi="Times New Roman"/>
          <w:sz w:val="22"/>
          <w:szCs w:val="22"/>
          <w:color w:val="auto"/>
        </w:rPr>
        <w:t>.</w:t>
      </w:r>
    </w:p>
    <w:p>
      <w:pPr>
        <w:spacing w:after="0" w:line="34" w:lineRule="exact"/>
        <w:rPr>
          <w:rFonts w:ascii="Times New Roman" w:cs="Times New Roman" w:eastAsia="Times New Roman" w:hAnsi="Times New Roman"/>
          <w:sz w:val="22"/>
          <w:szCs w:val="22"/>
          <w:color w:val="auto"/>
        </w:rPr>
      </w:pPr>
    </w:p>
    <w:p>
      <w:pPr>
        <w:ind w:left="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 (Services) of the Agreement is hereby deleted in its entirety and replaced with the following:</w:t>
      </w:r>
    </w:p>
    <w:p>
      <w:pPr>
        <w:spacing w:after="0" w:line="287" w:lineRule="exact"/>
        <w:rPr>
          <w:sz w:val="20"/>
          <w:szCs w:val="20"/>
          <w:color w:val="auto"/>
        </w:rPr>
      </w:pPr>
    </w:p>
    <w:p>
      <w:pPr>
        <w:jc w:val="both"/>
        <w:ind w:left="520" w:right="520"/>
        <w:spacing w:after="0" w:line="278" w:lineRule="auto"/>
        <w:rPr>
          <w:sz w:val="20"/>
          <w:szCs w:val="20"/>
          <w:color w:val="auto"/>
        </w:rPr>
      </w:pPr>
      <w:r>
        <w:rPr>
          <w:rFonts w:ascii="Times New Roman" w:cs="Times New Roman" w:eastAsia="Times New Roman" w:hAnsi="Times New Roman"/>
          <w:sz w:val="22"/>
          <w:szCs w:val="22"/>
          <w:color w:val="auto"/>
        </w:rPr>
        <w:t>Consultant shall serve as Company’s Interim Chief Financial Officer and Treasurer, reporting to the Company’s Chief Executive Officer, and will have responsibility for helping stabilize and lead the Finance function during the Company’s transition to a permanent Chief Financial Officer. Consultant shall provide the services described in Exhibit A (“Services”) during the Term.</w:t>
      </w:r>
    </w:p>
    <w:p>
      <w:pPr>
        <w:spacing w:after="0" w:line="21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1"/>
          <w:szCs w:val="21"/>
          <w:b w:val="1"/>
          <w:bCs w:val="1"/>
          <w:color w:val="auto"/>
        </w:rPr>
        <w:t xml:space="preserve">Exhibit A. </w:t>
      </w:r>
      <w:r>
        <w:rPr>
          <w:rFonts w:ascii="Times New Roman" w:cs="Times New Roman" w:eastAsia="Times New Roman" w:hAnsi="Times New Roman"/>
          <w:sz w:val="21"/>
          <w:szCs w:val="21"/>
          <w:color w:val="auto"/>
        </w:rPr>
        <w:t>The following shall be added to Exhibit A:</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14" w:lineRule="exact"/>
        <w:rPr>
          <w:sz w:val="20"/>
          <w:szCs w:val="20"/>
          <w:color w:val="auto"/>
        </w:rPr>
      </w:pPr>
    </w:p>
    <w:p>
      <w:pPr>
        <w:jc w:val="both"/>
        <w:ind w:left="520" w:right="520" w:firstLine="6"/>
        <w:spacing w:after="0" w:line="289" w:lineRule="auto"/>
        <w:tabs>
          <w:tab w:leader="none" w:pos="861"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Serve as Treasurer of the Company, holding customary authority and responsibilities, including the authority to execute and deliver appropriate documents and instruments on behalf of and as requested by the Company, subject to the Company’s Delegation of Authority policy.</w:t>
      </w:r>
    </w:p>
    <w:p>
      <w:pPr>
        <w:spacing w:after="0" w:line="189" w:lineRule="exact"/>
        <w:rPr>
          <w:rFonts w:ascii="Times New Roman" w:cs="Times New Roman" w:eastAsia="Times New Roman" w:hAnsi="Times New Roman"/>
          <w:sz w:val="22"/>
          <w:szCs w:val="22"/>
          <w:color w:val="auto"/>
        </w:rPr>
      </w:pPr>
    </w:p>
    <w:p>
      <w:pPr>
        <w:ind w:left="340" w:hanging="332"/>
        <w:spacing w:after="0" w:line="300" w:lineRule="auto"/>
        <w:tabs>
          <w:tab w:leader="none" w:pos="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Extension of Term</w:t>
      </w:r>
      <w:r>
        <w:rPr>
          <w:rFonts w:ascii="Times New Roman" w:cs="Times New Roman" w:eastAsia="Times New Roman" w:hAnsi="Times New Roman"/>
          <w:sz w:val="22"/>
          <w:szCs w:val="22"/>
          <w:color w:val="auto"/>
        </w:rPr>
        <w:t>. The first paragraph of Section 5 (Term; Termination) of the Agreement is hereby deleted in its entirety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replaced with the following:</w:t>
      </w:r>
    </w:p>
    <w:p>
      <w:pPr>
        <w:spacing w:after="0" w:line="195" w:lineRule="exact"/>
        <w:rPr>
          <w:sz w:val="20"/>
          <w:szCs w:val="20"/>
          <w:color w:val="auto"/>
        </w:rPr>
      </w:pPr>
    </w:p>
    <w:p>
      <w:pPr>
        <w:jc w:val="both"/>
        <w:ind w:left="520" w:right="520"/>
        <w:spacing w:after="0" w:line="279" w:lineRule="auto"/>
        <w:rPr>
          <w:sz w:val="20"/>
          <w:szCs w:val="20"/>
          <w:color w:val="auto"/>
        </w:rPr>
      </w:pPr>
      <w:r>
        <w:rPr>
          <w:rFonts w:ascii="Times New Roman" w:cs="Times New Roman" w:eastAsia="Times New Roman" w:hAnsi="Times New Roman"/>
          <w:sz w:val="22"/>
          <w:szCs w:val="22"/>
          <w:color w:val="auto"/>
        </w:rPr>
        <w:t>The term (“Term”) shall continue until the earlier to occur of (a) December 31, 2026 or (b) the appointment of a permanent Chief Financial Officer of the Company. The Term may be extended by the parties upon mutual written agreement. Either party may terminate this Agreement upon thirty (30) days’ written notice, or immediately for cause. In the event of termination, Company shall pay Consultant the pro rata fees earned through the effective date of termination and no other fees shall be owed.</w:t>
      </w:r>
    </w:p>
    <w:p>
      <w:pPr>
        <w:spacing w:after="0" w:line="200" w:lineRule="exact"/>
        <w:rPr>
          <w:sz w:val="20"/>
          <w:szCs w:val="20"/>
          <w:color w:val="auto"/>
        </w:rPr>
      </w:pPr>
    </w:p>
    <w:p>
      <w:pPr>
        <w:jc w:val="both"/>
        <w:ind w:left="340" w:hanging="332"/>
        <w:spacing w:after="0" w:line="283" w:lineRule="auto"/>
        <w:tabs>
          <w:tab w:leader="none" w:pos="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Other Changes. </w:t>
      </w:r>
      <w:r>
        <w:rPr>
          <w:rFonts w:ascii="Times New Roman" w:cs="Times New Roman" w:eastAsia="Times New Roman" w:hAnsi="Times New Roman"/>
          <w:sz w:val="22"/>
          <w:szCs w:val="22"/>
          <w:color w:val="auto"/>
        </w:rPr>
        <w:t>Except as expressly modified by this Amendment, all other terms and conditions of the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without limitation the compensation, reporting, confidentiality, Section 16 officer designation, independent contractor, indemnification, and governing law provisions, shall remain in full force and effect and are hereby ratified and confirmed by the Parties.</w:t>
      </w:r>
    </w:p>
    <w:p>
      <w:pPr>
        <w:spacing w:after="0" w:line="197" w:lineRule="exact"/>
        <w:rPr>
          <w:rFonts w:ascii="Times New Roman" w:cs="Times New Roman" w:eastAsia="Times New Roman" w:hAnsi="Times New Roman"/>
          <w:sz w:val="22"/>
          <w:szCs w:val="22"/>
          <w:color w:val="auto"/>
        </w:rPr>
      </w:pPr>
    </w:p>
    <w:p>
      <w:pPr>
        <w:ind w:left="340" w:hanging="332"/>
        <w:spacing w:after="0" w:line="300" w:lineRule="auto"/>
        <w:tabs>
          <w:tab w:leader="none" w:pos="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Defined Terms. </w:t>
      </w:r>
      <w:r>
        <w:rPr>
          <w:rFonts w:ascii="Times New Roman" w:cs="Times New Roman" w:eastAsia="Times New Roman" w:hAnsi="Times New Roman"/>
          <w:sz w:val="22"/>
          <w:szCs w:val="22"/>
          <w:color w:val="auto"/>
        </w:rPr>
        <w:t>Capitalized terms used but not otherwise defined in this Amendment shall have the meanings ascribed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them in the Agreement.</w:t>
      </w:r>
    </w:p>
    <w:p>
      <w:pPr>
        <w:spacing w:after="0" w:line="191" w:lineRule="exact"/>
        <w:rPr>
          <w:rFonts w:ascii="Times New Roman" w:cs="Times New Roman" w:eastAsia="Times New Roman" w:hAnsi="Times New Roman"/>
          <w:sz w:val="22"/>
          <w:szCs w:val="22"/>
          <w:color w:val="auto"/>
        </w:rPr>
      </w:pPr>
    </w:p>
    <w:p>
      <w:pPr>
        <w:ind w:left="340" w:right="20" w:hanging="332"/>
        <w:spacing w:after="0" w:line="300" w:lineRule="auto"/>
        <w:tabs>
          <w:tab w:leader="none" w:pos="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Amendment shall be governed by, and construed in accordance with, the laws of the State of Illinois,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consistent with Section 13 of the Agreement.</w:t>
      </w:r>
    </w:p>
    <w:p>
      <w:pPr>
        <w:spacing w:after="0" w:line="17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22"/>
          <w:szCs w:val="22"/>
          <w:b w:val="1"/>
          <w:bCs w:val="1"/>
          <w:color w:val="auto"/>
        </w:rPr>
        <w:t xml:space="preserve">Counterparts; Electronic Signatures. </w:t>
      </w:r>
      <w:r>
        <w:rPr>
          <w:rFonts w:ascii="Times New Roman" w:cs="Times New Roman" w:eastAsia="Times New Roman" w:hAnsi="Times New Roman"/>
          <w:sz w:val="22"/>
          <w:szCs w:val="22"/>
          <w:color w:val="auto"/>
        </w:rPr>
        <w:t>This Amendment may 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and all of which together shall constitute one and the same instrument. Signatures delivered by electronic means (including PDF or Adobe Sign) shall be deemed original signatures for all purposes.</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Amendment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PORTILLO’S HOT DOGS, LLC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Jill Waite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Jill Waite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People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PF SMITH CONSULTING LLC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Pamela F. Smith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Pamela F. Smith</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lvl w:ilvl="1">
      <w:lvlJc w:val="left"/>
      <w:lvlText w:val="%2."/>
      <w:numFmt w:val="decimal"/>
      <w:start w:val="10"/>
    </w:lvl>
  </w:abstractNum>
  <w:abstractNum w:abstractNumId="3">
    <w:nsid w:val="238E1F29"/>
    <w:multiLevelType w:val="hybridMultilevel"/>
    <w:lvl w:ilvl="0">
      <w:lvlJc w:val="left"/>
      <w:lvlText w:val="%1."/>
      <w:numFmt w:val="decimal"/>
      <w:start w:val="3"/>
    </w:lvl>
    <w:lvl w:ilvl="1">
      <w:lvlJc w:val="left"/>
      <w:lvlText w:val="%2"/>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2026-06-30T15:57:14Z</dcterms:created>
  <dcterms:modified xsi:type="dcterms:W3CDTF">2026-06-30T15:57:14Z</dcterms:modified>
</cp:coreProperties>
</file>